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right"/>
        <w:rPr>
          <w:rFonts w:hint="eastAsia"/>
        </w:rPr>
      </w:pPr>
    </w:p>
    <w:p>
      <w:pPr>
        <w:jc w:val="right"/>
        <w:rPr>
          <w:rFonts w:hint="eastAsia"/>
        </w:rPr>
      </w:pPr>
      <w:r>
        <w:rPr>
          <w:rFonts w:hint="eastAsia"/>
          <w:snapToGrid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-247015</wp:posOffset>
                </wp:positionH>
                <wp:positionV relativeFrom="paragraph">
                  <wp:posOffset>-656590</wp:posOffset>
                </wp:positionV>
                <wp:extent cx="6119495" cy="935990"/>
                <wp:effectExtent l="0" t="0" r="0" b="0"/>
                <wp:wrapNone/>
                <wp:docPr id="4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true">
                        <a:spLocks noChangeArrowheads="true"/>
                      </wps:cNvSpPr>
                      <wps:spPr bwMode="auto">
                        <a:xfrm>
                          <a:off x="0" y="0"/>
                          <a:ext cx="6119495" cy="935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tbl>
                            <w:tblPr>
                              <w:tblStyle w:val="8"/>
                              <w:tblW w:w="9450" w:type="dxa"/>
                              <w:tblInd w:w="0" w:type="dxa"/>
                              <w:tblBorders>
                                <w:top w:val="none" w:color="auto" w:sz="0" w:space="0"/>
                                <w:left w:val="none" w:color="auto" w:sz="0" w:space="0"/>
                                <w:bottom w:val="thinThickSmallGap" w:color="auto" w:sz="18" w:space="0"/>
                                <w:right w:val="none" w:color="auto" w:sz="0" w:space="0"/>
                                <w:insideH w:val="none" w:color="auto" w:sz="0" w:space="0"/>
                                <w:insideV w:val="none" w:color="auto" w:sz="0" w:space="0"/>
                              </w:tblBorders>
                              <w:tblLayout w:type="autofit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9450"/>
                            </w:tblGrid>
                            <w:tr>
                              <w:tblPrEx>
                                <w:tblBorders>
                                  <w:top w:val="none" w:color="auto" w:sz="0" w:space="0"/>
                                  <w:left w:val="none" w:color="auto" w:sz="0" w:space="0"/>
                                  <w:bottom w:val="thinThickSmallGap" w:color="auto" w:sz="18" w:space="0"/>
                                  <w:right w:val="none" w:color="auto" w:sz="0" w:space="0"/>
                                  <w:insideH w:val="none" w:color="auto" w:sz="0" w:space="0"/>
                                  <w:insideV w:val="none" w:color="auto" w:sz="0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c>
                                <w:tcPr>
                                  <w:tcW w:w="9450" w:type="dxa"/>
                                  <w:tcBorders>
                                    <w:bottom w:val="thinThickSmallGap" w:color="FF0000" w:sz="18" w:space="0"/>
                                  </w:tcBorders>
                                </w:tcPr>
                                <w:p>
                                  <w:pPr>
                                    <w:pStyle w:val="17"/>
                                    <w:spacing w:before="160" w:after="140" w:line="900" w:lineRule="exact"/>
                                    <w:ind w:left="567" w:right="567"/>
                                    <w:rPr>
                                      <w:rFonts w:ascii="Times New Roman" w:hAnsi="Times New Roman" w:eastAsia="方正小标宋_GBK"/>
                                      <w:sz w:val="80"/>
                                      <w:szCs w:val="80"/>
                                    </w:rPr>
                                  </w:pPr>
                                  <w:r>
                                    <w:rPr>
                                      <w:rFonts w:hint="eastAsia" w:ascii="Times New Roman" w:hAnsi="Times New Roman" w:eastAsia="方正小标宋_GBK"/>
                                      <w:b/>
                                      <w:sz w:val="80"/>
                                      <w:szCs w:val="80"/>
                                    </w:rPr>
                                    <w:t>江苏省科学技术</w:t>
                                  </w:r>
                                  <w:r>
                                    <w:rPr>
                                      <w:rFonts w:hint="eastAsia" w:ascii="Times New Roman" w:hAnsi="Times New Roman" w:eastAsia="方正小标宋_GBK"/>
                                      <w:b/>
                                      <w:spacing w:val="0"/>
                                      <w:sz w:val="80"/>
                                      <w:szCs w:val="80"/>
                                    </w:rPr>
                                    <w:t>厅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ind w:firstLine="0"/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false" upright="true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-19.45pt;margin-top:-51.7pt;height:73.7pt;width:481.85pt;z-index:251658240;mso-width-relative:page;mso-height-relative:page;" fillcolor="#FFFFFF" filled="t" stroked="t" coordsize="21600,21600" o:gfxdata="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tbl>
                      <w:tblPr>
                        <w:tblStyle w:val="8"/>
                        <w:tblW w:w="9450" w:type="dxa"/>
                        <w:tblInd w:w="0" w:type="dxa"/>
                        <w:tblBorders>
                          <w:top w:val="none" w:color="auto" w:sz="0" w:space="0"/>
                          <w:left w:val="none" w:color="auto" w:sz="0" w:space="0"/>
                          <w:bottom w:val="thinThickSmallGap" w:color="auto" w:sz="18" w:space="0"/>
                          <w:right w:val="none" w:color="auto" w:sz="0" w:space="0"/>
                          <w:insideH w:val="none" w:color="auto" w:sz="0" w:space="0"/>
                          <w:insideV w:val="none" w:color="auto" w:sz="0" w:space="0"/>
                        </w:tblBorders>
                        <w:tblLayout w:type="autofit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9450"/>
                      </w:tblGrid>
                      <w:tr>
                        <w:tblPrEx>
                          <w:tblBorders>
                            <w:top w:val="none" w:color="auto" w:sz="0" w:space="0"/>
                            <w:left w:val="none" w:color="auto" w:sz="0" w:space="0"/>
                            <w:bottom w:val="thinThickSmallGap" w:color="auto" w:sz="18" w:space="0"/>
                            <w:right w:val="none" w:color="auto" w:sz="0" w:space="0"/>
                            <w:insideH w:val="none" w:color="auto" w:sz="0" w:space="0"/>
                            <w:insideV w:val="none" w:color="auto" w:sz="0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c>
                          <w:tcPr>
                            <w:tcW w:w="9450" w:type="dxa"/>
                            <w:tcBorders>
                              <w:bottom w:val="thinThickSmallGap" w:color="FF0000" w:sz="18" w:space="0"/>
                            </w:tcBorders>
                          </w:tcPr>
                          <w:p>
                            <w:pPr>
                              <w:pStyle w:val="17"/>
                              <w:spacing w:before="160" w:after="140" w:line="900" w:lineRule="exact"/>
                              <w:ind w:left="567" w:right="567"/>
                              <w:rPr>
                                <w:rFonts w:ascii="Times New Roman" w:hAnsi="Times New Roman" w:eastAsia="方正小标宋_GBK"/>
                                <w:sz w:val="80"/>
                                <w:szCs w:val="80"/>
                              </w:rPr>
                            </w:pPr>
                            <w:r>
                              <w:rPr>
                                <w:rFonts w:hint="eastAsia" w:ascii="Times New Roman" w:hAnsi="Times New Roman" w:eastAsia="方正小标宋_GBK"/>
                                <w:b/>
                                <w:sz w:val="80"/>
                                <w:szCs w:val="80"/>
                              </w:rPr>
                              <w:t>江苏省科学技术</w:t>
                            </w:r>
                            <w:r>
                              <w:rPr>
                                <w:rFonts w:hint="eastAsia" w:ascii="Times New Roman" w:hAnsi="Times New Roman" w:eastAsia="方正小标宋_GBK"/>
                                <w:b/>
                                <w:spacing w:val="0"/>
                                <w:sz w:val="80"/>
                                <w:szCs w:val="80"/>
                              </w:rPr>
                              <w:t>厅</w:t>
                            </w:r>
                          </w:p>
                        </w:tc>
                      </w:tr>
                    </w:tbl>
                    <w:p>
                      <w:pPr>
                        <w:ind w:firstLine="0"/>
                        <w:rPr>
                          <w:rFonts w:hint="eastAsi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pStyle w:val="15"/>
        <w:spacing w:line="590" w:lineRule="exact"/>
        <w:rPr>
          <w:rFonts w:hint="eastAsia"/>
        </w:rPr>
      </w:pPr>
    </w:p>
    <w:p>
      <w:pPr>
        <w:spacing w:line="590" w:lineRule="exact"/>
        <w:ind w:firstLine="0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关于举办202</w:t>
      </w:r>
      <w:r>
        <w:rPr>
          <w:rFonts w:hint="eastAsia" w:eastAsia="方正小标宋_GBK"/>
          <w:sz w:val="44"/>
          <w:szCs w:val="44"/>
        </w:rPr>
        <w:t>2</w:t>
      </w:r>
      <w:r>
        <w:rPr>
          <w:rFonts w:eastAsia="方正小标宋_GBK"/>
          <w:sz w:val="44"/>
          <w:szCs w:val="44"/>
        </w:rPr>
        <w:t>江苏</w:t>
      </w:r>
      <w:r>
        <w:rPr>
          <w:rFonts w:hint="eastAsia" w:eastAsia="方正小标宋_GBK"/>
          <w:sz w:val="44"/>
          <w:szCs w:val="44"/>
        </w:rPr>
        <w:t>—香港</w:t>
      </w:r>
      <w:r>
        <w:rPr>
          <w:rFonts w:eastAsia="方正小标宋_GBK"/>
          <w:sz w:val="44"/>
          <w:szCs w:val="44"/>
        </w:rPr>
        <w:t>技术创新</w:t>
      </w:r>
      <w:r>
        <w:rPr>
          <w:rFonts w:hint="eastAsia" w:eastAsia="方正小标宋_GBK"/>
          <w:sz w:val="44"/>
          <w:szCs w:val="44"/>
        </w:rPr>
        <w:t>合作</w:t>
      </w:r>
    </w:p>
    <w:p>
      <w:pPr>
        <w:spacing w:line="590" w:lineRule="exact"/>
        <w:ind w:firstLine="0"/>
        <w:jc w:val="center"/>
        <w:rPr>
          <w:rFonts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</w:rPr>
        <w:t>“</w:t>
      </w:r>
      <w:r>
        <w:rPr>
          <w:rFonts w:eastAsia="方正小标宋_GBK"/>
          <w:sz w:val="44"/>
          <w:szCs w:val="44"/>
        </w:rPr>
        <w:t>云</w:t>
      </w:r>
      <w:r>
        <w:rPr>
          <w:rFonts w:hint="eastAsia" w:eastAsia="方正小标宋_GBK"/>
          <w:sz w:val="44"/>
          <w:szCs w:val="44"/>
        </w:rPr>
        <w:t>”</w:t>
      </w:r>
      <w:r>
        <w:rPr>
          <w:rFonts w:eastAsia="方正小标宋_GBK"/>
          <w:sz w:val="44"/>
          <w:szCs w:val="44"/>
        </w:rPr>
        <w:t>对接会的</w:t>
      </w:r>
      <w:bookmarkStart w:id="1" w:name="_GoBack"/>
      <w:bookmarkEnd w:id="1"/>
      <w:r>
        <w:rPr>
          <w:rFonts w:eastAsia="方正小标宋_GBK"/>
          <w:sz w:val="44"/>
          <w:szCs w:val="44"/>
        </w:rPr>
        <w:t>通知</w:t>
      </w:r>
    </w:p>
    <w:p>
      <w:pPr>
        <w:pStyle w:val="17"/>
        <w:spacing w:before="0" w:line="590" w:lineRule="exact"/>
        <w:ind w:left="0" w:right="284"/>
        <w:jc w:val="both"/>
        <w:rPr>
          <w:rFonts w:ascii="Times New Roman" w:eastAsia="方正小标宋_GBK"/>
          <w:b/>
          <w:bCs/>
          <w:spacing w:val="0"/>
          <w:sz w:val="80"/>
        </w:rPr>
      </w:pPr>
      <w:bookmarkStart w:id="0" w:name="OLE_LINK3"/>
    </w:p>
    <w:bookmarkEnd w:id="0"/>
    <w:p>
      <w:pPr>
        <w:spacing w:line="590" w:lineRule="exact"/>
        <w:ind w:firstLine="0"/>
      </w:pPr>
      <w:r>
        <w:rPr>
          <w:rFonts w:hint="eastAsia"/>
        </w:rPr>
        <w:t>各有关单位：</w:t>
      </w:r>
    </w:p>
    <w:p>
      <w:pPr>
        <w:spacing w:line="590" w:lineRule="exact"/>
        <w:ind w:firstLine="632" w:firstLineChars="200"/>
        <w:rPr>
          <w:szCs w:val="32"/>
        </w:rPr>
      </w:pPr>
      <w:r>
        <w:rPr>
          <w:rFonts w:hint="eastAsia"/>
          <w:szCs w:val="32"/>
        </w:rPr>
        <w:t>为持续推动江苏企业技术需求与香港优质科创资源对接，促进香港先进科技成果在江苏转化，省科技厅与香港贸发局将于9月15日以线上为主方式，联合举办2022江苏—香港技术创新合作“云”对接会。现将有关事项通知如下：</w:t>
      </w:r>
    </w:p>
    <w:p>
      <w:pPr>
        <w:spacing w:line="590" w:lineRule="exact"/>
        <w:ind w:firstLine="632" w:firstLineChars="200"/>
        <w:rPr>
          <w:szCs w:val="32"/>
        </w:rPr>
      </w:pPr>
      <w:r>
        <w:rPr>
          <w:rFonts w:hint="eastAsia" w:ascii="方正黑体_GBK" w:eastAsia="方正黑体_GBK"/>
          <w:szCs w:val="32"/>
        </w:rPr>
        <w:t>一、时间</w:t>
      </w:r>
      <w:r>
        <w:rPr>
          <w:rFonts w:ascii="方正黑体_GBK" w:eastAsia="方正黑体_GBK"/>
          <w:szCs w:val="32"/>
        </w:rPr>
        <w:t>地点</w:t>
      </w:r>
    </w:p>
    <w:p>
      <w:pPr>
        <w:spacing w:line="590" w:lineRule="exact"/>
        <w:ind w:firstLine="632" w:firstLineChars="200"/>
        <w:rPr>
          <w:szCs w:val="32"/>
        </w:rPr>
      </w:pPr>
      <w:r>
        <w:rPr>
          <w:b/>
          <w:bCs/>
          <w:szCs w:val="32"/>
        </w:rPr>
        <w:t>时间：</w:t>
      </w:r>
      <w:r>
        <w:rPr>
          <w:rFonts w:hint="eastAsia"/>
          <w:szCs w:val="32"/>
        </w:rPr>
        <w:t>2022年9月15日（周四）14:00-17:30</w:t>
      </w:r>
    </w:p>
    <w:p>
      <w:pPr>
        <w:spacing w:line="590" w:lineRule="exact"/>
        <w:ind w:firstLine="632" w:firstLineChars="200"/>
        <w:rPr>
          <w:szCs w:val="32"/>
        </w:rPr>
      </w:pPr>
      <w:r>
        <w:rPr>
          <w:rFonts w:hint="eastAsia"/>
          <w:b/>
          <w:bCs/>
          <w:szCs w:val="32"/>
        </w:rPr>
        <w:t>线下活动地点：</w:t>
      </w:r>
      <w:r>
        <w:rPr>
          <w:rFonts w:hint="eastAsia"/>
          <w:szCs w:val="32"/>
        </w:rPr>
        <w:t>金陵饭店金陵楼钟山厅（南京市新街口汉中路2号）</w:t>
      </w:r>
    </w:p>
    <w:p>
      <w:pPr>
        <w:spacing w:line="590" w:lineRule="exact"/>
        <w:ind w:firstLine="632" w:firstLineChars="20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二、组织单位</w:t>
      </w:r>
    </w:p>
    <w:p>
      <w:pPr>
        <w:pStyle w:val="18"/>
        <w:spacing w:line="590" w:lineRule="exact"/>
        <w:ind w:firstLine="575" w:firstLineChars="182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b/>
          <w:bCs/>
          <w:kern w:val="0"/>
          <w:sz w:val="32"/>
          <w:szCs w:val="32"/>
        </w:rPr>
        <w:t>主办单位：</w:t>
      </w:r>
      <w:r>
        <w:rPr>
          <w:rFonts w:ascii="Times New Roman" w:hAnsi="Times New Roman" w:eastAsia="方正仿宋_GBK"/>
          <w:sz w:val="32"/>
          <w:szCs w:val="32"/>
        </w:rPr>
        <w:t>江苏省科学技术厅、香港贸易发展局</w:t>
      </w:r>
    </w:p>
    <w:p>
      <w:pPr>
        <w:pStyle w:val="18"/>
        <w:spacing w:line="590" w:lineRule="exact"/>
        <w:ind w:firstLine="575" w:firstLineChars="182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b/>
          <w:bCs/>
          <w:sz w:val="32"/>
          <w:szCs w:val="32"/>
        </w:rPr>
        <w:t>承办单位：</w:t>
      </w:r>
      <w:r>
        <w:rPr>
          <w:rFonts w:hint="eastAsia" w:ascii="Times New Roman" w:hAnsi="Times New Roman" w:eastAsia="方正仿宋_GBK"/>
          <w:sz w:val="32"/>
          <w:szCs w:val="32"/>
        </w:rPr>
        <w:t>江苏省对外科学技术交流中心</w:t>
      </w:r>
    </w:p>
    <w:p>
      <w:pPr>
        <w:spacing w:line="590" w:lineRule="exact"/>
        <w:ind w:firstLine="632" w:firstLineChars="20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三、活动内容</w:t>
      </w:r>
    </w:p>
    <w:p>
      <w:pPr>
        <w:spacing w:line="590" w:lineRule="exact"/>
        <w:ind w:firstLine="632" w:firstLineChars="200"/>
        <w:jc w:val="left"/>
        <w:rPr>
          <w:szCs w:val="32"/>
        </w:rPr>
      </w:pPr>
      <w:r>
        <w:rPr>
          <w:rFonts w:hint="eastAsia"/>
          <w:szCs w:val="32"/>
        </w:rPr>
        <w:t>活动聚焦绿色低碳、数字经济领域，包括香港高校及初创企业技术项目路演、苏港科技合作案例分享及互动交流等内容。进行技术项目路演的香港高校及初创企业项目简介见附件1。</w:t>
      </w:r>
    </w:p>
    <w:p>
      <w:pPr>
        <w:pStyle w:val="18"/>
        <w:spacing w:line="590" w:lineRule="exact"/>
        <w:ind w:firstLine="630"/>
        <w:rPr>
          <w:rFonts w:ascii="方正黑体_GBK" w:hAnsi="Times New Roman" w:eastAsia="方正黑体_GBK"/>
          <w:sz w:val="32"/>
          <w:szCs w:val="32"/>
        </w:rPr>
      </w:pPr>
      <w:r>
        <w:rPr>
          <w:rFonts w:hint="eastAsia" w:ascii="方正黑体_GBK" w:hAnsi="Times New Roman" w:eastAsia="方正黑体_GBK"/>
          <w:sz w:val="32"/>
          <w:szCs w:val="32"/>
        </w:rPr>
        <w:t>四、参与方式</w:t>
      </w:r>
    </w:p>
    <w:p>
      <w:pPr>
        <w:spacing w:line="590" w:lineRule="exact"/>
        <w:ind w:firstLine="632" w:firstLineChars="200"/>
        <w:rPr>
          <w:szCs w:val="32"/>
        </w:rPr>
      </w:pPr>
      <w:r>
        <w:rPr>
          <w:rFonts w:hint="eastAsia"/>
          <w:szCs w:val="32"/>
        </w:rPr>
        <w:t>本次活动采用线上视频会议系统交流和视频直播的形式举办，同时在南京设立线下会场，邀请部分有明确对接意向的江苏企业到南京线下会场或进入Zoom视频会议系统参与互动交流，其他江苏企业可通过视频直播的形式参与观看。</w:t>
      </w:r>
      <w:r>
        <w:rPr>
          <w:rFonts w:hint="eastAsia"/>
          <w:b/>
          <w:bCs/>
          <w:szCs w:val="32"/>
        </w:rPr>
        <w:t>线上直播链接网址为：</w:t>
      </w:r>
      <w:r>
        <w:rPr>
          <w:rFonts w:hint="eastAsia"/>
          <w:szCs w:val="32"/>
        </w:rPr>
        <w:t>https://www.scimeeting.cn/m/lives/details/10780</w:t>
      </w:r>
    </w:p>
    <w:p>
      <w:pPr>
        <w:spacing w:line="590" w:lineRule="exact"/>
        <w:jc w:val="left"/>
        <w:rPr>
          <w:szCs w:val="32"/>
        </w:rPr>
      </w:pPr>
      <w:r>
        <w:rPr>
          <w:rFonts w:hint="eastAsia"/>
          <w:szCs w:val="32"/>
        </w:rPr>
        <w:t>或扫描下方二维码获取直播链接：</w:t>
      </w:r>
    </w:p>
    <w:p>
      <w:pPr>
        <w:spacing w:line="540" w:lineRule="exact"/>
        <w:ind w:firstLine="640"/>
        <w:jc w:val="left"/>
        <w:rPr>
          <w:rFonts w:ascii="方正黑体_GBK" w:eastAsia="方正黑体_GBK"/>
          <w:szCs w:val="32"/>
        </w:rPr>
      </w:pPr>
      <w:r>
        <w:rPr>
          <w:snapToGrid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2026920</wp:posOffset>
            </wp:positionH>
            <wp:positionV relativeFrom="paragraph">
              <wp:posOffset>208280</wp:posOffset>
            </wp:positionV>
            <wp:extent cx="1436370" cy="1381125"/>
            <wp:effectExtent l="0" t="0" r="0" b="9525"/>
            <wp:wrapTopAndBottom/>
            <wp:docPr id="3" name="图片 2" descr="说明: IMG_9825(20220830-154050)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说明: IMG_9825(20220830-154050)"/>
                    <pic:cNvPicPr>
                      <a:picLocks noChangeAspect="true" noChangeArrowheads="true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false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36370" cy="138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方正黑体_GBK" w:eastAsia="方正黑体_GBK"/>
          <w:szCs w:val="32"/>
        </w:rPr>
        <w:t>五、报名及联系方式</w:t>
      </w:r>
    </w:p>
    <w:p>
      <w:pPr>
        <w:spacing w:line="540" w:lineRule="exact"/>
        <w:ind w:firstLine="632" w:firstLineChars="200"/>
        <w:rPr>
          <w:szCs w:val="32"/>
        </w:rPr>
      </w:pPr>
      <w:r>
        <w:rPr>
          <w:rFonts w:hint="eastAsia"/>
          <w:szCs w:val="32"/>
        </w:rPr>
        <w:t>请意向参会单位填写《活动报名表》（附件2），于9月9日前以电子邮件形式发送至下方联系人邮箱。</w:t>
      </w:r>
    </w:p>
    <w:p>
      <w:pPr>
        <w:spacing w:line="540" w:lineRule="exact"/>
        <w:ind w:firstLine="632" w:firstLineChars="200"/>
        <w:jc w:val="left"/>
        <w:rPr>
          <w:szCs w:val="32"/>
        </w:rPr>
      </w:pPr>
      <w:r>
        <w:rPr>
          <w:rFonts w:hint="eastAsia"/>
          <w:szCs w:val="32"/>
        </w:rPr>
        <w:t xml:space="preserve">联系人：省对外科学技术交流中心 周秋平 </w:t>
      </w:r>
    </w:p>
    <w:p>
      <w:pPr>
        <w:spacing w:line="540" w:lineRule="exact"/>
        <w:ind w:firstLine="632" w:firstLineChars="200"/>
        <w:jc w:val="left"/>
        <w:rPr>
          <w:szCs w:val="32"/>
        </w:rPr>
      </w:pPr>
      <w:r>
        <w:rPr>
          <w:rFonts w:hint="eastAsia"/>
          <w:szCs w:val="32"/>
        </w:rPr>
        <w:t>电  话：025-85485892，15850535896</w:t>
      </w:r>
    </w:p>
    <w:p>
      <w:pPr>
        <w:spacing w:line="540" w:lineRule="exact"/>
        <w:ind w:firstLine="632" w:firstLineChars="200"/>
        <w:jc w:val="left"/>
        <w:rPr>
          <w:szCs w:val="32"/>
        </w:rPr>
      </w:pPr>
      <w:r>
        <w:rPr>
          <w:rFonts w:hint="eastAsia"/>
          <w:szCs w:val="32"/>
        </w:rPr>
        <w:t>邮  箱：jittc_zqp@163.com</w:t>
      </w:r>
    </w:p>
    <w:p>
      <w:pPr>
        <w:spacing w:line="540" w:lineRule="exact"/>
        <w:jc w:val="left"/>
        <w:rPr>
          <w:szCs w:val="32"/>
        </w:rPr>
      </w:pPr>
    </w:p>
    <w:p>
      <w:pPr>
        <w:spacing w:line="540" w:lineRule="exact"/>
        <w:ind w:firstLine="632" w:firstLineChars="200"/>
        <w:jc w:val="left"/>
        <w:rPr>
          <w:szCs w:val="32"/>
        </w:rPr>
      </w:pPr>
      <w:r>
        <w:rPr>
          <w:rFonts w:hint="eastAsia"/>
          <w:szCs w:val="32"/>
        </w:rPr>
        <w:t>附件：1</w:t>
      </w:r>
      <w:r>
        <w:rPr>
          <w:rFonts w:hint="eastAsia" w:ascii="方正仿宋_GBK" w:cs="方正仿宋_GBK"/>
        </w:rPr>
        <w:t>．</w:t>
      </w:r>
      <w:r>
        <w:rPr>
          <w:rFonts w:hint="eastAsia"/>
          <w:szCs w:val="32"/>
        </w:rPr>
        <w:t>香港技术项目简介</w:t>
      </w:r>
    </w:p>
    <w:p>
      <w:pPr>
        <w:spacing w:line="540" w:lineRule="exact"/>
        <w:ind w:firstLine="1615" w:firstLineChars="511"/>
        <w:jc w:val="left"/>
        <w:rPr>
          <w:szCs w:val="32"/>
        </w:rPr>
      </w:pPr>
      <w:r>
        <w:rPr>
          <w:rFonts w:hint="eastAsia"/>
          <w:szCs w:val="32"/>
        </w:rPr>
        <w:t>2</w:t>
      </w:r>
      <w:r>
        <w:rPr>
          <w:rFonts w:hint="eastAsia" w:ascii="方正仿宋_GBK" w:cs="方正仿宋_GBK"/>
        </w:rPr>
        <w:t>．</w:t>
      </w:r>
      <w:r>
        <w:rPr>
          <w:rFonts w:hint="eastAsia"/>
          <w:szCs w:val="32"/>
        </w:rPr>
        <w:t>活动报名表</w:t>
      </w:r>
    </w:p>
    <w:p>
      <w:pPr>
        <w:ind w:left="4740" w:leftChars="1500" w:right="948" w:rightChars="300" w:firstLine="0"/>
        <w:jc w:val="center"/>
        <w:rPr>
          <w:rFonts w:hint="eastAsia"/>
          <w:spacing w:val="20"/>
        </w:rPr>
      </w:pPr>
      <w:r>
        <w:rPr>
          <w:rFonts w:hint="eastAsia"/>
          <w:spacing w:val="20"/>
        </w:rPr>
        <w:t>江苏省科学技术厅</w:t>
      </w:r>
    </w:p>
    <w:p>
      <w:pPr>
        <w:ind w:left="4740" w:leftChars="1500" w:right="948" w:rightChars="300" w:firstLine="0"/>
        <w:jc w:val="center"/>
      </w:pPr>
      <w:r>
        <w:rPr>
          <w:rFonts w:hint="eastAsia"/>
        </w:rPr>
        <w:t>2022年9月2日</w:t>
      </w:r>
    </w:p>
    <w:sectPr>
      <w:headerReference r:id="rId6" w:type="first"/>
      <w:footerReference r:id="rId9" w:type="first"/>
      <w:headerReference r:id="rId5" w:type="default"/>
      <w:footerReference r:id="rId7" w:type="default"/>
      <w:footerReference r:id="rId8" w:type="even"/>
      <w:pgSz w:w="11906" w:h="16838"/>
      <w:pgMar w:top="1814" w:right="1531" w:bottom="1985" w:left="1531" w:header="720" w:footer="1474" w:gutter="0"/>
      <w:pgNumType w:start="1"/>
      <w:cols w:space="720" w:num="1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鼎简黑体">
    <w:altName w:val="方正黑体_GBK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Arial">
    <w:altName w:val="DejaVu Sans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汉鼎简大宋">
    <w:altName w:val="方正书宋_GBK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  <w:r>
      <w:rPr>
        <w:rFonts w:hint="eastAsia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both"/>
      <w:rPr>
        <w:rFonts w:hint="eastAsia"/>
      </w:rPr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  <w:r>
      <w:rPr>
        <w:rFonts w:hint="eastAsia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  <w:spacing w:line="120" w:lineRule="exact"/>
      <w:ind w:left="0" w:right="0"/>
      <w:rPr>
        <w:color w:val="FFFFFF"/>
      </w:rPr>
    </w:pPr>
    <w:r>
      <w:rPr>
        <w:rFonts w:hint="eastAsia" w:ascii="方正小标宋_GBK" w:eastAsia="方正小标宋_GBK"/>
        <w:snapToGrid/>
        <w:w w:val="100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-233680</wp:posOffset>
              </wp:positionH>
              <wp:positionV relativeFrom="paragraph">
                <wp:posOffset>476250</wp:posOffset>
              </wp:positionV>
              <wp:extent cx="6119495" cy="0"/>
              <wp:effectExtent l="0" t="0" r="0" b="0"/>
              <wp:wrapNone/>
              <wp:docPr id="1" name="Lin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true"/>
                    </wps:cNvCnPr>
                    <wps:spPr bwMode="auto">
                      <a:xfrm>
                        <a:off x="0" y="0"/>
                        <a:ext cx="6119495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FF0000"/>
                        </a:solidFill>
                        <a:round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id="Line 1" o:spid="_x0000_s1026" o:spt="20" style="position:absolute;left:0pt;margin-left:-18.4pt;margin-top:37.5pt;height:0pt;width:481.85pt;z-index:251658240;mso-width-relative:page;mso-height-relative:page;" filled="f" stroked="t" coordsize="21600,21600" o:gfxdata="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BYAAABkcnMvUEsBAhQAFAAAAAgAh07iQLZClYHWAAAACQEAAA8AAAAAAAAA&#10;AQAgAAAAOAAAAGRycy9kb3ducmV2LnhtbFBLAQIUABQAAAAIAIdO4kC4AWzAxAEAAHQDAAAOAAAA&#10;AAAAAAEAIAAAADsBAABkcnMvZTJvRG9jLnhtbFBLBQYAAAAABgAGAFkBAABxBQAAAAA=&#10;">
              <v:fill on="f" focussize="0,0"/>
              <v:stroke weight="4.5pt" color="#FF0000" linestyle="thinThick" joinstyle="round"/>
              <v:imagedata o:title=""/>
              <o:lock v:ext="edit" aspectratio="f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20" w:line="400" w:lineRule="atLeast"/>
      <w:jc w:val="right"/>
      <w:rPr>
        <w:rFonts w:hint="eastAsia" w:ascii="方正黑体_GBK" w:eastAsia="方正黑体_GBK"/>
        <w:color w:val="FFFFFF"/>
      </w:rPr>
    </w:pPr>
  </w:p>
  <w:p>
    <w:pPr>
      <w:spacing w:line="400" w:lineRule="atLeast"/>
      <w:jc w:val="right"/>
      <w:rPr>
        <w:rFonts w:hint="eastAsia" w:ascii="汉鼎简黑体" w:hAnsi="汉鼎简黑体" w:eastAsia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/>
  <w:documentProtection w:enforcement="0"/>
  <w:defaultTabStop w:val="425"/>
  <w:evenAndOddHeaders w:val="true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62C"/>
    <w:rsid w:val="00202A54"/>
    <w:rsid w:val="0029004D"/>
    <w:rsid w:val="00294248"/>
    <w:rsid w:val="003D111F"/>
    <w:rsid w:val="003D7D0A"/>
    <w:rsid w:val="003E3C1E"/>
    <w:rsid w:val="004C5F2D"/>
    <w:rsid w:val="005039F5"/>
    <w:rsid w:val="0061753B"/>
    <w:rsid w:val="00680482"/>
    <w:rsid w:val="00741B0F"/>
    <w:rsid w:val="007742BA"/>
    <w:rsid w:val="007C7197"/>
    <w:rsid w:val="007D7430"/>
    <w:rsid w:val="00846CA4"/>
    <w:rsid w:val="00847BB1"/>
    <w:rsid w:val="008D6A48"/>
    <w:rsid w:val="00925EFF"/>
    <w:rsid w:val="00A30B98"/>
    <w:rsid w:val="00B0141B"/>
    <w:rsid w:val="00BB1818"/>
    <w:rsid w:val="00BB1B41"/>
    <w:rsid w:val="00BC2305"/>
    <w:rsid w:val="00C400F9"/>
    <w:rsid w:val="00C95DEC"/>
    <w:rsid w:val="00CB13AF"/>
    <w:rsid w:val="00EC4873"/>
    <w:rsid w:val="00FA7E99"/>
    <w:rsid w:val="BA7B23C6"/>
    <w:rsid w:val="C4FF846B"/>
    <w:rsid w:val="FE734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汉鼎简黑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9">
    <w:name w:val="Default Paragraph Font"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7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1"/>
    <w:next w:val="1"/>
    <w:qFormat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1">
    <w:name w:val="样式 标题1 + 段前: 0.5 行 段后: 0.5 行"/>
    <w:basedOn w:val="10"/>
    <w:qFormat/>
    <w:uiPriority w:val="0"/>
    <w:pPr>
      <w:spacing w:before="0" w:beforeLines="0" w:after="0" w:afterLines="0"/>
    </w:pPr>
    <w:rPr>
      <w:rFonts w:cs="宋体"/>
    </w:rPr>
  </w:style>
  <w:style w:type="paragraph" w:customStyle="1" w:styleId="12">
    <w:name w:val="红线"/>
    <w:basedOn w:val="1"/>
    <w:qFormat/>
    <w:uiPriority w:val="0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13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4">
    <w:name w:val="标题3"/>
    <w:basedOn w:val="1"/>
    <w:next w:val="1"/>
    <w:qFormat/>
    <w:uiPriority w:val="0"/>
    <w:rPr>
      <w:rFonts w:eastAsia="方正黑体_GBK"/>
    </w:rPr>
  </w:style>
  <w:style w:type="paragraph" w:customStyle="1" w:styleId="15">
    <w:name w:val="密级急件"/>
    <w:basedOn w:val="1"/>
    <w:qFormat/>
    <w:uiPriority w:val="0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16">
    <w:name w:val="抄送栏"/>
    <w:basedOn w:val="1"/>
    <w:qFormat/>
    <w:uiPriority w:val="0"/>
    <w:pPr>
      <w:adjustRightInd w:val="0"/>
      <w:snapToGrid/>
      <w:ind w:left="953" w:hanging="953"/>
    </w:pPr>
  </w:style>
  <w:style w:type="paragraph" w:customStyle="1" w:styleId="17">
    <w:name w:val="文头"/>
    <w:basedOn w:val="12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  <w:style w:type="paragraph" w:styleId="18">
    <w:name w:val="List Paragraph"/>
    <w:basedOn w:val="1"/>
    <w:qFormat/>
    <w:uiPriority w:val="34"/>
    <w:pPr>
      <w:autoSpaceDE/>
      <w:autoSpaceDN/>
      <w:snapToGrid/>
      <w:spacing w:line="240" w:lineRule="auto"/>
      <w:ind w:firstLine="420" w:firstLineChars="200"/>
    </w:pPr>
    <w:rPr>
      <w:rFonts w:ascii="Calibri" w:hAnsi="Calibri" w:eastAsia="宋体"/>
      <w:snapToGrid/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1.jpeg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560</Words>
  <Characters>670</Characters>
  <Lines>5</Lines>
  <Paragraphs>1</Paragraphs>
  <TotalTime>1</TotalTime>
  <ScaleCrop>false</ScaleCrop>
  <LinksUpToDate>false</LinksUpToDate>
  <CharactersWithSpaces>676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2022-09-02T17:20:00Z</dcterms:created>
  <dc:creator>uos</dc:creator>
  <cp:lastModifiedBy>uos</cp:lastModifiedBy>
  <cp:lastPrinted>2022-09-02T17:22:00Z</cp:lastPrinted>
  <dcterms:modified xsi:type="dcterms:W3CDTF">2022-09-05T08:54:51Z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