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rPr>
          <w:rFonts w:ascii="方正仿宋_GBK"/>
          <w:szCs w:val="32"/>
        </w:rPr>
      </w:pPr>
    </w:p>
    <w:p>
      <w:pPr>
        <w:ind w:firstLine="0"/>
        <w:jc w:val="center"/>
        <w:rPr>
          <w:rFonts w:ascii="方正小标宋_GBK" w:eastAsia="方正小标宋_GBK"/>
          <w:sz w:val="44"/>
          <w:szCs w:val="44"/>
        </w:rPr>
      </w:pPr>
      <w:r>
        <w:rPr>
          <w:rFonts w:hint="eastAsia" w:ascii="方正小标宋_GBK" w:eastAsia="方正小标宋_GBK"/>
          <w:sz w:val="44"/>
          <w:szCs w:val="44"/>
        </w:rPr>
        <w:t>关于支持江苏省产业技术研究院改革发展</w:t>
      </w:r>
    </w:p>
    <w:p>
      <w:pPr>
        <w:ind w:firstLine="0"/>
        <w:jc w:val="center"/>
        <w:rPr>
          <w:rFonts w:ascii="方正小标宋_GBK" w:eastAsia="方正小标宋_GBK"/>
          <w:sz w:val="44"/>
          <w:szCs w:val="44"/>
        </w:rPr>
      </w:pPr>
      <w:r>
        <w:rPr>
          <w:rFonts w:hint="eastAsia" w:ascii="方正小标宋_GBK" w:eastAsia="方正小标宋_GBK"/>
          <w:sz w:val="44"/>
          <w:szCs w:val="44"/>
        </w:rPr>
        <w:t>若干政策措施</w:t>
      </w:r>
    </w:p>
    <w:p>
      <w:pPr>
        <w:ind w:firstLine="0"/>
        <w:jc w:val="center"/>
        <w:rPr>
          <w:rFonts w:ascii="方正楷体_GBK" w:eastAsia="方正楷体_GBK"/>
          <w:szCs w:val="32"/>
        </w:rPr>
      </w:pPr>
      <w:r>
        <w:rPr>
          <w:rFonts w:hint="eastAsia" w:ascii="方正楷体_GBK" w:eastAsia="方正楷体_GBK"/>
          <w:szCs w:val="32"/>
        </w:rPr>
        <w:t>（</w:t>
      </w:r>
      <w:r>
        <w:rPr>
          <w:rFonts w:hint="eastAsia" w:ascii="方正楷体_GBK" w:hAnsi="仿宋" w:eastAsia="方正楷体_GBK" w:cs="仿宋"/>
          <w:bCs/>
          <w:szCs w:val="32"/>
        </w:rPr>
        <w:t>修订草案</w:t>
      </w:r>
      <w:r>
        <w:rPr>
          <w:rFonts w:hint="eastAsia" w:ascii="方正楷体_GBK" w:hAnsi="仿宋" w:eastAsia="方正楷体_GBK" w:cs="仿宋"/>
          <w:bCs/>
          <w:szCs w:val="32"/>
          <w:lang w:eastAsia="zh-CN"/>
        </w:rPr>
        <w:t>征求意见稿</w:t>
      </w:r>
      <w:r>
        <w:rPr>
          <w:rFonts w:hint="eastAsia" w:ascii="方正楷体_GBK" w:eastAsia="方正楷体_GBK"/>
          <w:szCs w:val="32"/>
        </w:rPr>
        <w:t>）</w:t>
      </w:r>
    </w:p>
    <w:p>
      <w:pPr>
        <w:widowControl/>
        <w:autoSpaceDE/>
        <w:autoSpaceDN/>
        <w:snapToGrid/>
        <w:spacing w:line="240" w:lineRule="auto"/>
        <w:ind w:firstLine="0"/>
        <w:jc w:val="center"/>
        <w:rPr>
          <w:rFonts w:ascii="方正仿宋_GBK"/>
          <w:szCs w:val="32"/>
        </w:rPr>
      </w:pPr>
      <w:bookmarkStart w:id="0" w:name="_GoBack"/>
      <w:bookmarkEnd w:id="0"/>
    </w:p>
    <w:p>
      <w:pPr>
        <w:widowControl/>
        <w:autoSpaceDE/>
        <w:autoSpaceDN/>
        <w:adjustRightInd w:val="0"/>
        <w:spacing w:line="590" w:lineRule="exact"/>
        <w:ind w:firstLine="632" w:firstLineChars="200"/>
        <w:rPr>
          <w:rFonts w:ascii="方正仿宋_GBK"/>
          <w:szCs w:val="32"/>
          <w:u w:val="none"/>
        </w:rPr>
      </w:pPr>
      <w:r>
        <w:rPr>
          <w:rFonts w:hint="eastAsia" w:ascii="方正仿宋_GBK"/>
          <w:szCs w:val="32"/>
          <w:u w:val="none"/>
        </w:rPr>
        <w:t>为贯彻落实党的二十大精神，深入实施创新驱动发展战略，</w:t>
      </w:r>
      <w:r>
        <w:rPr>
          <w:rFonts w:hint="eastAsia" w:ascii="方正仿宋_GBK"/>
          <w:szCs w:val="32"/>
        </w:rPr>
        <w:t>支持江苏省产业技术研究院（以下简称省产研院）</w:t>
      </w:r>
      <w:r>
        <w:rPr>
          <w:rFonts w:hint="eastAsia" w:ascii="方正仿宋_GBK"/>
          <w:szCs w:val="32"/>
          <w:u w:val="none"/>
        </w:rPr>
        <w:t>深化</w:t>
      </w:r>
      <w:r>
        <w:rPr>
          <w:rFonts w:hint="eastAsia" w:ascii="方正仿宋_GBK"/>
          <w:szCs w:val="32"/>
        </w:rPr>
        <w:t>改革发展，</w:t>
      </w:r>
      <w:r>
        <w:rPr>
          <w:rFonts w:hint="eastAsia" w:ascii="方正仿宋_GBK"/>
          <w:szCs w:val="32"/>
          <w:u w:val="none"/>
        </w:rPr>
        <w:t>提高科技成果转化和产业化水平，加快实现高水平科技自立自强，提出如下政策措施。</w:t>
      </w:r>
    </w:p>
    <w:p>
      <w:pPr>
        <w:widowControl/>
        <w:autoSpaceDE/>
        <w:autoSpaceDN/>
        <w:adjustRightInd w:val="0"/>
        <w:spacing w:line="590" w:lineRule="exact"/>
        <w:ind w:firstLine="632" w:firstLineChars="200"/>
        <w:rPr>
          <w:rFonts w:ascii="方正仿宋_GBK"/>
          <w:szCs w:val="32"/>
        </w:rPr>
      </w:pPr>
      <w:r>
        <w:rPr>
          <w:rFonts w:hint="eastAsia" w:ascii="方正仿宋_GBK"/>
          <w:szCs w:val="32"/>
        </w:rPr>
        <w:t>一、省产研院独立法人性质的专业研究所、</w:t>
      </w:r>
      <w:r>
        <w:rPr>
          <w:rFonts w:hint="eastAsia" w:ascii="方正仿宋_GBK"/>
          <w:szCs w:val="32"/>
          <w:u w:val="none"/>
        </w:rPr>
        <w:t>产业重大技术创新项目公司</w:t>
      </w:r>
      <w:r>
        <w:rPr>
          <w:rFonts w:hint="eastAsia" w:ascii="方正仿宋_GBK"/>
          <w:szCs w:val="32"/>
        </w:rPr>
        <w:t>使用财政资金取得的不涉及国防、国家安全、国家利益、重大社会公共利益的科技成果，其使用权、处置权、收益权归其所有；科技成果转化收益可自行处置，不需履行相关手续；对主要贡献人</w:t>
      </w:r>
      <w:r>
        <w:rPr>
          <w:rFonts w:hint="eastAsia" w:ascii="方正仿宋_GBK"/>
          <w:szCs w:val="32"/>
          <w:lang w:val="en-US" w:eastAsia="zh-CN"/>
        </w:rPr>
        <w:t>员</w:t>
      </w:r>
      <w:r>
        <w:rPr>
          <w:rFonts w:hint="eastAsia" w:ascii="方正仿宋_GBK"/>
          <w:szCs w:val="32"/>
        </w:rPr>
        <w:t>和团队的奖励，计入当年单位工资总额，不作为工资总额基数；</w:t>
      </w:r>
      <w:r>
        <w:rPr>
          <w:rFonts w:hint="eastAsia" w:ascii="方正仿宋_GBK"/>
          <w:szCs w:val="32"/>
          <w:u w:val="none"/>
        </w:rPr>
        <w:t>对于职务科技成果，省产研院可按规定赋予完成科技成果的科研人员所有权或长期使用权。</w:t>
      </w:r>
      <w:r>
        <w:rPr>
          <w:rFonts w:hint="eastAsia" w:ascii="方正仿宋_GBK"/>
          <w:szCs w:val="32"/>
        </w:rPr>
        <w:t>鼓励国内外科技成果到省产研院进行二次开发、转移转化，省科技计划项目或专项资金建立专门渠道给予优先支持。省产研院及专业研究所转化职务科技成果并以股份或出资比例等形式给予个人奖励时，获奖人可暂不缴纳个人所得税；取得按股份、出资比例分红或转让股权、出资比例所得收入时，按规定缴纳个人所得税。</w:t>
      </w:r>
    </w:p>
    <w:p>
      <w:pPr>
        <w:widowControl/>
        <w:autoSpaceDE/>
        <w:autoSpaceDN/>
        <w:adjustRightInd w:val="0"/>
        <w:spacing w:line="590" w:lineRule="exact"/>
        <w:ind w:firstLine="632" w:firstLineChars="200"/>
        <w:rPr>
          <w:rFonts w:ascii="方正仿宋_GBK"/>
          <w:szCs w:val="32"/>
        </w:rPr>
      </w:pPr>
      <w:r>
        <w:rPr>
          <w:rFonts w:hint="eastAsia" w:ascii="方正仿宋_GBK"/>
          <w:szCs w:val="32"/>
        </w:rPr>
        <w:t>二、</w:t>
      </w:r>
      <w:r>
        <w:rPr>
          <w:rFonts w:hint="eastAsia" w:ascii="方正仿宋_GBK"/>
          <w:szCs w:val="32"/>
          <w:u w:val="none"/>
        </w:rPr>
        <w:t>省产研院</w:t>
      </w:r>
      <w:r>
        <w:rPr>
          <w:rFonts w:hint="eastAsia"/>
        </w:rPr>
        <w:t>专项资金</w:t>
      </w:r>
      <w:r>
        <w:rPr>
          <w:rFonts w:hint="eastAsia" w:ascii="方正仿宋_GBK"/>
          <w:szCs w:val="32"/>
        </w:rPr>
        <w:t>主要用于</w:t>
      </w:r>
      <w:r>
        <w:rPr>
          <w:rFonts w:hint="eastAsia" w:ascii="方正仿宋_GBK"/>
          <w:szCs w:val="32"/>
          <w:u w:val="none"/>
        </w:rPr>
        <w:t>支持省产研院日常运行及业务工作开展、专业</w:t>
      </w:r>
      <w:r>
        <w:rPr>
          <w:rFonts w:hint="eastAsia"/>
          <w:szCs w:val="32"/>
          <w:u w:val="none"/>
        </w:rPr>
        <w:t>研究所建设运营、产业重大技术创新项目、人才队伍建设、产业创新服务能力建设、创新资源集聚</w:t>
      </w:r>
      <w:r>
        <w:rPr>
          <w:rFonts w:hint="eastAsia" w:ascii="方正仿宋_GBK"/>
          <w:szCs w:val="32"/>
          <w:u w:val="none"/>
        </w:rPr>
        <w:t>等，</w:t>
      </w:r>
      <w:r>
        <w:rPr>
          <w:rFonts w:hint="eastAsia" w:ascii="方正仿宋_GBK"/>
          <w:szCs w:val="32"/>
        </w:rPr>
        <w:t>可用于省产研院及专业研究所支付市场化聘用的人才基本薪酬、对外购买服务和技术创新成果、开展国际科技合作等。</w:t>
      </w:r>
      <w:r>
        <w:rPr>
          <w:rFonts w:hint="eastAsia"/>
          <w:u w:val="none"/>
        </w:rPr>
        <w:t>建立省产研院专项资金稳定支持机制，充分赋予省产研院经费使用自主权，</w:t>
      </w:r>
      <w:r>
        <w:rPr>
          <w:rFonts w:hint="eastAsia" w:ascii="方正仿宋_GBK"/>
          <w:szCs w:val="32"/>
        </w:rPr>
        <w:t>专项资金的使用及调整，由省产研院理事会批准。</w:t>
      </w:r>
    </w:p>
    <w:p>
      <w:pPr>
        <w:widowControl/>
        <w:autoSpaceDE/>
        <w:autoSpaceDN/>
        <w:adjustRightInd w:val="0"/>
        <w:spacing w:line="590" w:lineRule="exact"/>
        <w:ind w:firstLine="632" w:firstLineChars="200"/>
        <w:rPr>
          <w:rFonts w:ascii="方正仿宋_GBK"/>
          <w:szCs w:val="32"/>
          <w:u w:val="none"/>
        </w:rPr>
      </w:pPr>
      <w:r>
        <w:rPr>
          <w:rFonts w:hint="eastAsia" w:ascii="方正仿宋_GBK"/>
          <w:szCs w:val="32"/>
          <w:u w:val="none"/>
        </w:rPr>
        <w:t>三、围绕省产研院聚焦的相关领域，在省政府投资基金下设立子基金，支持省产研院牵头组建基金管理公司，培育发展高水平创新型企业，形成财政资金支持与科创基金投资相结合的联动机制。</w:t>
      </w:r>
    </w:p>
    <w:p>
      <w:pPr>
        <w:adjustRightInd w:val="0"/>
        <w:spacing w:line="590" w:lineRule="exact"/>
        <w:rPr>
          <w:rFonts w:ascii="方正仿宋_GBK"/>
          <w:szCs w:val="32"/>
        </w:rPr>
      </w:pPr>
      <w:r>
        <w:rPr>
          <w:rFonts w:hint="eastAsia" w:ascii="方正仿宋_GBK"/>
          <w:szCs w:val="32"/>
        </w:rPr>
        <w:t>四、省</w:t>
      </w:r>
      <w:r>
        <w:rPr>
          <w:rFonts w:hint="eastAsia" w:ascii="方正仿宋_GBK"/>
          <w:szCs w:val="32"/>
          <w:u w:val="none"/>
        </w:rPr>
        <w:t>科技、财政、税务、知识产权</w:t>
      </w:r>
      <w:r>
        <w:rPr>
          <w:rFonts w:hint="eastAsia" w:ascii="方正仿宋_GBK"/>
          <w:szCs w:val="32"/>
        </w:rPr>
        <w:t>等相关部门为省产研院</w:t>
      </w:r>
      <w:r>
        <w:rPr>
          <w:rFonts w:hint="eastAsia" w:ascii="方正仿宋_GBK"/>
          <w:szCs w:val="32"/>
          <w:u w:val="none"/>
        </w:rPr>
        <w:t>、专业研究所及其衍生孵化企业、产业重大技术创新项目公司</w:t>
      </w:r>
      <w:r>
        <w:rPr>
          <w:rFonts w:hint="eastAsia" w:ascii="方正仿宋_GBK"/>
          <w:szCs w:val="32"/>
        </w:rPr>
        <w:t>建立高新技术企业认定、企业研发费用加计扣除</w:t>
      </w:r>
      <w:r>
        <w:rPr>
          <w:rFonts w:hint="eastAsia" w:ascii="方正仿宋_GBK"/>
          <w:szCs w:val="32"/>
          <w:u w:val="none"/>
        </w:rPr>
        <w:t>、知识产权服务</w:t>
      </w:r>
      <w:r>
        <w:rPr>
          <w:rFonts w:hint="eastAsia" w:ascii="方正仿宋_GBK"/>
          <w:szCs w:val="32"/>
        </w:rPr>
        <w:t>等政策落实的专门服务渠道。</w:t>
      </w:r>
      <w:r>
        <w:rPr>
          <w:rFonts w:hint="eastAsia"/>
          <w:szCs w:val="32"/>
          <w:u w:val="none"/>
        </w:rPr>
        <w:t>企业委托省产研院</w:t>
      </w:r>
      <w:r>
        <w:rPr>
          <w:rFonts w:hint="eastAsia" w:ascii="方正仿宋_GBK"/>
          <w:szCs w:val="32"/>
          <w:u w:val="none"/>
        </w:rPr>
        <w:t>专业研究所</w:t>
      </w:r>
      <w:r>
        <w:rPr>
          <w:rFonts w:hint="eastAsia"/>
          <w:szCs w:val="32"/>
        </w:rPr>
        <w:t>进行技术研发所发生的支出，</w:t>
      </w:r>
      <w:r>
        <w:rPr>
          <w:rFonts w:hint="eastAsia"/>
          <w:szCs w:val="32"/>
          <w:u w:val="none"/>
        </w:rPr>
        <w:t>按规定享受企业研发费用加计扣除政策</w:t>
      </w:r>
      <w:r>
        <w:rPr>
          <w:rFonts w:hint="eastAsia" w:ascii="方正仿宋_GBK"/>
          <w:szCs w:val="32"/>
          <w:u w:val="none"/>
        </w:rPr>
        <w:t>。</w:t>
      </w:r>
      <w:r>
        <w:rPr>
          <w:rFonts w:hint="eastAsia" w:ascii="方正仿宋_GBK"/>
          <w:szCs w:val="32"/>
        </w:rPr>
        <w:t>省产研院、专业研究所</w:t>
      </w:r>
      <w:r>
        <w:rPr>
          <w:rFonts w:hint="eastAsia" w:ascii="方正仿宋_GBK"/>
          <w:szCs w:val="32"/>
          <w:u w:val="none"/>
        </w:rPr>
        <w:t>和产业重大技术创新项目公司</w:t>
      </w:r>
      <w:r>
        <w:rPr>
          <w:rFonts w:hint="eastAsia" w:ascii="方正仿宋_GBK"/>
          <w:szCs w:val="32"/>
        </w:rPr>
        <w:t>取得的财政拨款</w:t>
      </w:r>
      <w:r>
        <w:rPr>
          <w:rFonts w:hint="eastAsia" w:ascii="方正仿宋_GBK"/>
          <w:szCs w:val="32"/>
          <w:u w:val="none"/>
        </w:rPr>
        <w:t>符合规定的</w:t>
      </w:r>
      <w:r>
        <w:rPr>
          <w:rFonts w:hint="eastAsia" w:ascii="方正仿宋_GBK"/>
          <w:szCs w:val="32"/>
        </w:rPr>
        <w:t>，计入不征税收入管理。</w:t>
      </w:r>
    </w:p>
    <w:p>
      <w:pPr>
        <w:adjustRightInd w:val="0"/>
        <w:spacing w:line="590" w:lineRule="exact"/>
        <w:rPr>
          <w:rFonts w:ascii="方正仿宋_GBK"/>
          <w:szCs w:val="32"/>
        </w:rPr>
      </w:pPr>
      <w:r>
        <w:rPr>
          <w:rFonts w:hint="eastAsia" w:ascii="方正仿宋_GBK"/>
          <w:szCs w:val="32"/>
        </w:rPr>
        <w:t>五、省教育、人力资源社会保障等主管部门鼓励符合条件的高等院校教师、科研人员等到省产研院兼职，学校认同其在省产研院的工作业绩，并作为教师、科研人员学校考核和职称评聘等的主要依据。高校院所应支持科研人员携带科技成果到省产研院开展技术开发和创办衍生企业，由省产研院、高校院所和科硏人员签定三方协议，明确各相关方的权利和义务；协议期间原单位可为其保留人事关系，最多不超过</w:t>
      </w:r>
      <w:r>
        <w:rPr>
          <w:szCs w:val="32"/>
        </w:rPr>
        <w:t>3</w:t>
      </w:r>
      <w:r>
        <w:rPr>
          <w:rFonts w:hint="eastAsia" w:ascii="方正仿宋_GBK"/>
          <w:szCs w:val="32"/>
        </w:rPr>
        <w:t>年，并保留参加职称评聘、岗位等级晋升和社会保险等方面的基本待遇。</w:t>
      </w:r>
      <w:r>
        <w:rPr>
          <w:rFonts w:hint="eastAsia" w:ascii="方正仿宋_GBK"/>
          <w:szCs w:val="32"/>
          <w:u w:val="none"/>
        </w:rPr>
        <w:t>授权省产研院组建自然科学研究系列高级职称评审委员会，支持建设综合性博士后科研工作站。</w:t>
      </w:r>
      <w:r>
        <w:rPr>
          <w:rFonts w:hint="eastAsia" w:ascii="方正仿宋_GBK"/>
          <w:szCs w:val="32"/>
        </w:rPr>
        <w:t>省、市人才计划项目为省产研院引进高层次人才建立专门渠道。</w:t>
      </w:r>
    </w:p>
    <w:p>
      <w:pPr>
        <w:adjustRightInd w:val="0"/>
        <w:spacing w:line="590" w:lineRule="exact"/>
        <w:rPr>
          <w:rFonts w:ascii="方正仿宋_GBK"/>
          <w:szCs w:val="32"/>
          <w:u w:val="none"/>
        </w:rPr>
      </w:pPr>
      <w:r>
        <w:rPr>
          <w:rFonts w:hint="eastAsia" w:ascii="方正仿宋_GBK"/>
          <w:szCs w:val="32"/>
        </w:rPr>
        <w:t>六、税务机关根据省产研院需求，提供“个性化”税务服务，按照宽松便捷的原则，简化流程、手续，确保各项税收优惠政策落实到位；因有特殊困难不能按期缴纳税款的，经税务机关批准可延期缴纳；缴纳房产税、城镇土地使用税确有困难的，</w:t>
      </w:r>
      <w:r>
        <w:rPr>
          <w:rFonts w:hint="eastAsia" w:ascii="方正仿宋_GBK"/>
          <w:szCs w:val="32"/>
          <w:u w:val="none"/>
        </w:rPr>
        <w:t>按规定</w:t>
      </w:r>
      <w:r>
        <w:rPr>
          <w:rFonts w:hint="eastAsia" w:ascii="方正仿宋_GBK"/>
          <w:szCs w:val="32"/>
        </w:rPr>
        <w:t>给予减免支持。</w:t>
      </w:r>
      <w:r>
        <w:rPr>
          <w:rFonts w:hint="eastAsia" w:ascii="方正仿宋_GBK" w:hAnsi="Times New Roman" w:eastAsia="方正仿宋_GBK"/>
          <w:szCs w:val="32"/>
          <w:u w:val="none"/>
        </w:rPr>
        <w:t>经核定为科研机构的</w:t>
      </w:r>
      <w:r>
        <w:rPr>
          <w:rFonts w:hint="eastAsia" w:ascii="方正仿宋_GBK" w:hAnsi="Times New Roman" w:eastAsia="方正仿宋_GBK"/>
          <w:szCs w:val="32"/>
        </w:rPr>
        <w:t>省产研院专业研究所，</w:t>
      </w:r>
      <w:r>
        <w:rPr>
          <w:rFonts w:hint="eastAsia" w:ascii="方正仿宋_GBK" w:hAnsi="Times New Roman" w:eastAsia="方正仿宋_GBK"/>
          <w:szCs w:val="32"/>
          <w:u w:val="none"/>
        </w:rPr>
        <w:t>按规定享受支持科技创新进口税收优惠政策</w:t>
      </w:r>
      <w:r>
        <w:rPr>
          <w:rFonts w:hint="eastAsia" w:ascii="方正仿宋_GBK"/>
          <w:szCs w:val="32"/>
        </w:rPr>
        <w:t>。</w:t>
      </w:r>
      <w:r>
        <w:rPr>
          <w:rFonts w:hint="eastAsia" w:ascii="方正仿宋_GBK"/>
          <w:szCs w:val="32"/>
          <w:u w:val="none"/>
        </w:rPr>
        <w:t>经理事会审定的省产研院高端人才和紧缺人才，所在设区市人民政府可根据人才实际贡献给予奖补。</w:t>
      </w:r>
    </w:p>
    <w:p>
      <w:pPr>
        <w:adjustRightInd w:val="0"/>
        <w:spacing w:line="590" w:lineRule="exact"/>
        <w:rPr>
          <w:rFonts w:ascii="方正仿宋_GBK"/>
          <w:szCs w:val="32"/>
        </w:rPr>
      </w:pPr>
      <w:r>
        <w:rPr>
          <w:rFonts w:hint="eastAsia" w:ascii="方正仿宋_GBK"/>
          <w:szCs w:val="32"/>
        </w:rPr>
        <w:t>七、省有关部门为省产研院聘用的外</w:t>
      </w:r>
      <w:r>
        <w:rPr>
          <w:rFonts w:hint="eastAsia" w:ascii="方正仿宋_GBK"/>
          <w:szCs w:val="32"/>
          <w:u w:val="none"/>
        </w:rPr>
        <w:t>国高端</w:t>
      </w:r>
      <w:r>
        <w:rPr>
          <w:rFonts w:hint="eastAsia" w:ascii="方正仿宋_GBK"/>
          <w:szCs w:val="32"/>
        </w:rPr>
        <w:t>人才及其随行家属取得工作许可及居留等的办理提供绿色通道；对持有外国人永久居留证的外</w:t>
      </w:r>
      <w:r>
        <w:rPr>
          <w:rFonts w:hint="eastAsia" w:ascii="方正仿宋_GBK"/>
          <w:szCs w:val="32"/>
          <w:u w:val="none"/>
        </w:rPr>
        <w:t>国</w:t>
      </w:r>
      <w:r>
        <w:rPr>
          <w:rFonts w:hint="eastAsia" w:ascii="方正仿宋_GBK"/>
          <w:szCs w:val="32"/>
        </w:rPr>
        <w:t>人才来省产研院开展技术研发或创办科技型企业的，给予中国籍公民相应的同等待遇；对省产研院聘用的</w:t>
      </w:r>
      <w:r>
        <w:rPr>
          <w:rFonts w:hint="eastAsia" w:ascii="方正仿宋_GBK"/>
          <w:szCs w:val="32"/>
          <w:u w:val="none"/>
        </w:rPr>
        <w:t>外国高端</w:t>
      </w:r>
      <w:r>
        <w:rPr>
          <w:rFonts w:hint="eastAsia" w:ascii="方正仿宋_GBK"/>
          <w:szCs w:val="32"/>
        </w:rPr>
        <w:t>人才，取消工作许可的年龄限制。</w:t>
      </w:r>
    </w:p>
    <w:p>
      <w:pPr>
        <w:adjustRightInd w:val="0"/>
        <w:spacing w:line="590" w:lineRule="exact"/>
        <w:rPr>
          <w:rFonts w:ascii="方正仿宋_GBK"/>
          <w:szCs w:val="32"/>
        </w:rPr>
      </w:pPr>
      <w:r>
        <w:rPr>
          <w:rFonts w:hint="eastAsia" w:ascii="方正仿宋_GBK"/>
          <w:szCs w:val="32"/>
        </w:rPr>
        <w:t>八、鼓励省产研院参与国际科技交流合作，与境外知名大学、科研机构、跨国公司联合建设研发机构，在境外设立或参与设立研发、科技服务等机构。省产研院、专业研究所和</w:t>
      </w:r>
      <w:r>
        <w:rPr>
          <w:rFonts w:hint="eastAsia" w:ascii="方正仿宋_GBK"/>
          <w:szCs w:val="32"/>
          <w:u w:val="none"/>
        </w:rPr>
        <w:t>产业重大技术创新项目公司</w:t>
      </w:r>
      <w:r>
        <w:rPr>
          <w:rFonts w:hint="eastAsia"/>
          <w:szCs w:val="32"/>
        </w:rPr>
        <w:t>开展国际合作所需付汇，实行其事先承诺，省商务、科技、税务等部门事后并联监管。</w:t>
      </w:r>
      <w:r>
        <w:rPr>
          <w:rFonts w:hint="eastAsia" w:ascii="方正仿宋_GBK"/>
          <w:szCs w:val="32"/>
        </w:rPr>
        <w:t>对省产研院科研</w:t>
      </w:r>
      <w:r>
        <w:rPr>
          <w:rFonts w:hint="eastAsia" w:ascii="方正仿宋_GBK"/>
          <w:szCs w:val="32"/>
          <w:u w:val="none"/>
        </w:rPr>
        <w:t>及管理</w:t>
      </w:r>
      <w:r>
        <w:rPr>
          <w:rFonts w:hint="eastAsia" w:ascii="方正仿宋_GBK"/>
          <w:szCs w:val="32"/>
        </w:rPr>
        <w:t>人员因公出国进行分类管理，</w:t>
      </w:r>
      <w:r>
        <w:rPr>
          <w:rFonts w:hint="eastAsia" w:ascii="方正仿宋_GBK"/>
          <w:szCs w:val="32"/>
          <w:u w:val="none"/>
          <w:lang w:val="en-US" w:eastAsia="zh-CN"/>
        </w:rPr>
        <w:t>支持其</w:t>
      </w:r>
      <w:r>
        <w:rPr>
          <w:rFonts w:hint="eastAsia" w:ascii="方正仿宋_GBK"/>
          <w:szCs w:val="32"/>
          <w:u w:val="none"/>
        </w:rPr>
        <w:t>按实际需要开展国际交流合作。</w:t>
      </w:r>
    </w:p>
    <w:p>
      <w:pPr>
        <w:widowControl/>
        <w:autoSpaceDE/>
        <w:autoSpaceDN/>
        <w:adjustRightInd w:val="0"/>
        <w:spacing w:line="590" w:lineRule="exact"/>
        <w:ind w:firstLine="632" w:firstLineChars="200"/>
        <w:rPr>
          <w:rFonts w:ascii="方正仿宋_GBK"/>
          <w:szCs w:val="32"/>
          <w:u w:val="none"/>
        </w:rPr>
      </w:pPr>
      <w:r>
        <w:rPr>
          <w:rFonts w:hint="eastAsia" w:ascii="方正仿宋_GBK"/>
          <w:szCs w:val="32"/>
          <w:u w:val="none"/>
        </w:rPr>
        <w:t>九、省财政厅统筹安排省产研院专项资金，支持省产研院采取“拨投结合”方式实施产业重大技术创新项目，加快培育战略性新兴产业；支持省产研院联合细分行业龙头企业组织开展关键共性技术攻关。</w:t>
      </w:r>
    </w:p>
    <w:p>
      <w:pPr>
        <w:widowControl/>
        <w:autoSpaceDE/>
        <w:autoSpaceDN/>
        <w:adjustRightInd w:val="0"/>
        <w:spacing w:line="590" w:lineRule="exact"/>
        <w:ind w:firstLine="632" w:firstLineChars="200"/>
        <w:rPr>
          <w:rFonts w:ascii="方正仿宋_GBK"/>
          <w:szCs w:val="32"/>
          <w:u w:val="none"/>
        </w:rPr>
      </w:pPr>
      <w:r>
        <w:rPr>
          <w:rFonts w:hint="eastAsia" w:ascii="方正仿宋_GBK"/>
          <w:szCs w:val="32"/>
          <w:u w:val="none"/>
        </w:rPr>
        <w:t>十、省教育厅支持省产研院与高校开展研究生联合培养，通过产教融合培养理论知识扎实、实践动手能力强、符合产业实际需求的产业创新人才。</w:t>
      </w:r>
    </w:p>
    <w:p>
      <w:pPr>
        <w:widowControl/>
        <w:autoSpaceDE/>
        <w:autoSpaceDN/>
        <w:adjustRightInd w:val="0"/>
        <w:spacing w:line="590" w:lineRule="exact"/>
        <w:ind w:firstLine="632" w:firstLineChars="200"/>
        <w:rPr>
          <w:rFonts w:ascii="方正仿宋_GBK"/>
          <w:szCs w:val="32"/>
          <w:u w:val="none"/>
        </w:rPr>
      </w:pPr>
      <w:r>
        <w:rPr>
          <w:rFonts w:hint="eastAsia" w:ascii="方正仿宋_GBK"/>
          <w:szCs w:val="32"/>
          <w:u w:val="none"/>
        </w:rPr>
        <w:t>十一、支持各设区市与省产研院一体化建设运行地方产业技术研究院；</w:t>
      </w:r>
      <w:r>
        <w:rPr>
          <w:rFonts w:hint="eastAsia" w:ascii="方正仿宋_GBK"/>
          <w:szCs w:val="32"/>
          <w:u w:val="none"/>
          <w:lang w:val="en-US" w:eastAsia="zh-CN"/>
        </w:rPr>
        <w:t>鼓励</w:t>
      </w:r>
      <w:r>
        <w:rPr>
          <w:rFonts w:hint="eastAsia" w:ascii="方正仿宋_GBK"/>
          <w:szCs w:val="32"/>
          <w:u w:val="none"/>
        </w:rPr>
        <w:t>各市、县（市、区）支持省产研院布局建设专业研究所，以“拨投结合”方式实施产业重大技术创新项目，培育省研发型企业，建立企业联合创新中心，并给予资金、场地等政策支持。</w:t>
      </w:r>
    </w:p>
    <w:p>
      <w:pPr>
        <w:widowControl/>
        <w:autoSpaceDE/>
        <w:autoSpaceDN/>
        <w:adjustRightInd w:val="0"/>
        <w:spacing w:line="590" w:lineRule="exact"/>
        <w:ind w:firstLine="632" w:firstLineChars="200"/>
        <w:rPr>
          <w:rFonts w:ascii="方正仿宋_GBK"/>
          <w:szCs w:val="32"/>
          <w:u w:val="none"/>
        </w:rPr>
      </w:pPr>
      <w:r>
        <w:rPr>
          <w:rFonts w:hint="eastAsia" w:ascii="方正仿宋_GBK"/>
          <w:szCs w:val="32"/>
          <w:u w:val="none"/>
        </w:rPr>
        <w:t>十二</w:t>
      </w:r>
      <w:r>
        <w:rPr>
          <w:rFonts w:hint="eastAsia" w:ascii="方正仿宋_GBK"/>
          <w:szCs w:val="32"/>
          <w:highlight w:val="none"/>
          <w:u w:val="none"/>
        </w:rPr>
        <w:t>、支持省产研院建立</w:t>
      </w:r>
      <w:r>
        <w:rPr>
          <w:rFonts w:hint="eastAsia" w:ascii="方正仿宋_GBK"/>
          <w:szCs w:val="32"/>
          <w:highlight w:val="none"/>
          <w:u w:val="none"/>
          <w:lang w:val="en-US" w:eastAsia="zh-CN"/>
        </w:rPr>
        <w:t>完善</w:t>
      </w:r>
      <w:r>
        <w:rPr>
          <w:rFonts w:hint="eastAsia" w:ascii="方正仿宋_GBK"/>
          <w:szCs w:val="32"/>
          <w:highlight w:val="none"/>
          <w:u w:val="none"/>
        </w:rPr>
        <w:t>管理运营团队绩效奖励</w:t>
      </w:r>
      <w:r>
        <w:rPr>
          <w:rFonts w:hint="eastAsia" w:ascii="方正仿宋_GBK"/>
          <w:szCs w:val="32"/>
          <w:highlight w:val="none"/>
          <w:u w:val="none"/>
          <w:lang w:val="en-US" w:eastAsia="zh-CN"/>
        </w:rPr>
        <w:t>机制；探索建立</w:t>
      </w:r>
      <w:r>
        <w:rPr>
          <w:rFonts w:hint="eastAsia" w:ascii="方正仿宋_GBK"/>
          <w:szCs w:val="32"/>
          <w:highlight w:val="none"/>
          <w:u w:val="none"/>
        </w:rPr>
        <w:t>股权激励机制。</w:t>
      </w:r>
      <w:r>
        <w:rPr>
          <w:rFonts w:hint="eastAsia" w:ascii="方正仿宋_GBK"/>
          <w:szCs w:val="32"/>
          <w:u w:val="none"/>
        </w:rPr>
        <w:t>建立完善有利于促进省产研院深化改革的综合考评机制和</w:t>
      </w:r>
      <w:r>
        <w:rPr>
          <w:rFonts w:hint="eastAsia"/>
          <w:color w:val="000000"/>
          <w:u w:val="none"/>
          <w:shd w:val="clear" w:color="auto" w:fill="FFFFFF"/>
        </w:rPr>
        <w:t>鼓励创新、宽容失败</w:t>
      </w:r>
      <w:r>
        <w:rPr>
          <w:rFonts w:hint="eastAsia" w:ascii="方正仿宋_GBK"/>
          <w:szCs w:val="32"/>
          <w:u w:val="none"/>
        </w:rPr>
        <w:t>的容错免责机制。</w:t>
      </w:r>
    </w:p>
    <w:p>
      <w:pPr>
        <w:widowControl/>
        <w:autoSpaceDE/>
        <w:autoSpaceDN/>
        <w:adjustRightInd w:val="0"/>
        <w:spacing w:line="590" w:lineRule="exact"/>
        <w:ind w:firstLine="632" w:firstLineChars="200"/>
      </w:pPr>
      <w:r>
        <w:rPr>
          <w:rFonts w:hint="eastAsia" w:ascii="方正仿宋_GBK"/>
          <w:szCs w:val="32"/>
        </w:rPr>
        <w:t>本通知的有效期限为</w:t>
      </w:r>
      <w:r>
        <w:rPr>
          <w:szCs w:val="32"/>
        </w:rPr>
        <w:t>5</w:t>
      </w:r>
      <w:r>
        <w:rPr>
          <w:rFonts w:hint="eastAsia"/>
          <w:szCs w:val="32"/>
        </w:rPr>
        <w:t>年，自</w:t>
      </w:r>
      <w:r>
        <w:rPr>
          <w:szCs w:val="32"/>
        </w:rPr>
        <w:t>2022</w:t>
      </w:r>
      <w:r>
        <w:rPr>
          <w:rFonts w:hint="eastAsia"/>
          <w:szCs w:val="32"/>
        </w:rPr>
        <w:t>年</w:t>
      </w:r>
      <w:r>
        <w:rPr>
          <w:szCs w:val="32"/>
        </w:rPr>
        <w:t>X</w:t>
      </w:r>
      <w:r>
        <w:rPr>
          <w:rFonts w:hint="eastAsia"/>
          <w:szCs w:val="32"/>
        </w:rPr>
        <w:t>月</w:t>
      </w:r>
      <w:r>
        <w:rPr>
          <w:szCs w:val="32"/>
        </w:rPr>
        <w:t>X</w:t>
      </w:r>
      <w:r>
        <w:rPr>
          <w:rFonts w:hint="eastAsia"/>
          <w:szCs w:val="32"/>
        </w:rPr>
        <w:t>日</w:t>
      </w:r>
      <w:r>
        <w:rPr>
          <w:szCs w:val="32"/>
        </w:rPr>
        <w:t>-2027</w:t>
      </w:r>
      <w:r>
        <w:rPr>
          <w:rFonts w:hint="eastAsia"/>
          <w:szCs w:val="32"/>
        </w:rPr>
        <w:t>年</w:t>
      </w:r>
      <w:r>
        <w:rPr>
          <w:szCs w:val="32"/>
        </w:rPr>
        <w:t>X</w:t>
      </w:r>
      <w:r>
        <w:rPr>
          <w:rFonts w:hint="eastAsia"/>
          <w:szCs w:val="32"/>
        </w:rPr>
        <w:t>月</w:t>
      </w:r>
      <w:r>
        <w:rPr>
          <w:szCs w:val="32"/>
        </w:rPr>
        <w:t>X</w:t>
      </w:r>
      <w:r>
        <w:rPr>
          <w:rFonts w:hint="eastAsia"/>
          <w:szCs w:val="32"/>
        </w:rPr>
        <w:t>日</w:t>
      </w:r>
      <w:r>
        <w:rPr>
          <w:rFonts w:hint="eastAsia" w:ascii="方正仿宋_GBK"/>
          <w:szCs w:val="32"/>
        </w:rPr>
        <w:t>。</w:t>
      </w:r>
    </w:p>
    <w:sectPr>
      <w:footerReference r:id="rId5" w:type="default"/>
      <w:pgSz w:w="11906" w:h="16838"/>
      <w:pgMar w:top="1814" w:right="1531" w:bottom="1985" w:left="1531" w:header="720" w:footer="1474" w:gutter="0"/>
      <w:paperSrc w:first="2" w:other="2"/>
      <w:pgNumType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FZFSK--GBK1-0">
    <w:altName w:val="微软雅黑"/>
    <w:panose1 w:val="00000000000000000000"/>
    <w:charset w:val="86"/>
    <w:family w:val="auto"/>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rPr>
      <w:t xml:space="preserve">— </w:t>
    </w:r>
    <w:r>
      <w:rPr>
        <w:rStyle w:val="10"/>
      </w:rPr>
      <w:fldChar w:fldCharType="begin"/>
    </w:r>
    <w:r>
      <w:rPr>
        <w:rStyle w:val="10"/>
      </w:rPr>
      <w:instrText xml:space="preserve"> PAGE </w:instrText>
    </w:r>
    <w:r>
      <w:rPr>
        <w:rStyle w:val="10"/>
      </w:rPr>
      <w:fldChar w:fldCharType="separate"/>
    </w:r>
    <w:r>
      <w:rPr>
        <w:rStyle w:val="10"/>
      </w:rPr>
      <w:t>4</w:t>
    </w:r>
    <w:r>
      <w:rPr>
        <w:rStyle w:val="10"/>
      </w:rPr>
      <w:fldChar w:fldCharType="end"/>
    </w:r>
    <w:r>
      <w:rPr>
        <w:rStyle w:val="10"/>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embedSystemFonts/>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val="true"/>
  <w:documentProtection w:enforcement="0"/>
  <w:defaultTabStop w:val="425"/>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933"/>
    <w:rsid w:val="000038E9"/>
    <w:rsid w:val="00004031"/>
    <w:rsid w:val="00005EA0"/>
    <w:rsid w:val="00006687"/>
    <w:rsid w:val="000078FC"/>
    <w:rsid w:val="00011207"/>
    <w:rsid w:val="00022039"/>
    <w:rsid w:val="000231BB"/>
    <w:rsid w:val="00024B26"/>
    <w:rsid w:val="00025105"/>
    <w:rsid w:val="00031139"/>
    <w:rsid w:val="000355A4"/>
    <w:rsid w:val="000405A1"/>
    <w:rsid w:val="00041A2D"/>
    <w:rsid w:val="00047D47"/>
    <w:rsid w:val="00052E66"/>
    <w:rsid w:val="0005594D"/>
    <w:rsid w:val="00056DF7"/>
    <w:rsid w:val="00061A37"/>
    <w:rsid w:val="00064677"/>
    <w:rsid w:val="00071396"/>
    <w:rsid w:val="000723E1"/>
    <w:rsid w:val="000834B1"/>
    <w:rsid w:val="00084E52"/>
    <w:rsid w:val="00087546"/>
    <w:rsid w:val="00093019"/>
    <w:rsid w:val="000A09A1"/>
    <w:rsid w:val="000A6113"/>
    <w:rsid w:val="000A664E"/>
    <w:rsid w:val="000A7A1D"/>
    <w:rsid w:val="000B3594"/>
    <w:rsid w:val="000B3A8C"/>
    <w:rsid w:val="000B4E05"/>
    <w:rsid w:val="000B7AAE"/>
    <w:rsid w:val="000C70B0"/>
    <w:rsid w:val="000D7516"/>
    <w:rsid w:val="000D7936"/>
    <w:rsid w:val="000E265B"/>
    <w:rsid w:val="000F3A15"/>
    <w:rsid w:val="000F6E4C"/>
    <w:rsid w:val="000F710D"/>
    <w:rsid w:val="00102092"/>
    <w:rsid w:val="001030E4"/>
    <w:rsid w:val="00103AA9"/>
    <w:rsid w:val="00107330"/>
    <w:rsid w:val="00114068"/>
    <w:rsid w:val="00116045"/>
    <w:rsid w:val="00121713"/>
    <w:rsid w:val="00123794"/>
    <w:rsid w:val="00131B7C"/>
    <w:rsid w:val="00133A41"/>
    <w:rsid w:val="001466B4"/>
    <w:rsid w:val="00152BE1"/>
    <w:rsid w:val="0015423D"/>
    <w:rsid w:val="00154B12"/>
    <w:rsid w:val="00156E7D"/>
    <w:rsid w:val="00160420"/>
    <w:rsid w:val="00162F56"/>
    <w:rsid w:val="0016427E"/>
    <w:rsid w:val="00164297"/>
    <w:rsid w:val="00172A32"/>
    <w:rsid w:val="00175608"/>
    <w:rsid w:val="001767F8"/>
    <w:rsid w:val="0018065D"/>
    <w:rsid w:val="00182544"/>
    <w:rsid w:val="00190B76"/>
    <w:rsid w:val="00196ADF"/>
    <w:rsid w:val="00197C94"/>
    <w:rsid w:val="001A335A"/>
    <w:rsid w:val="001A5EA9"/>
    <w:rsid w:val="001B4779"/>
    <w:rsid w:val="001B6AA7"/>
    <w:rsid w:val="001C4FA1"/>
    <w:rsid w:val="001C6D5C"/>
    <w:rsid w:val="001C7489"/>
    <w:rsid w:val="001D446D"/>
    <w:rsid w:val="001D6B69"/>
    <w:rsid w:val="001E05A2"/>
    <w:rsid w:val="001E1CA5"/>
    <w:rsid w:val="001E4CD9"/>
    <w:rsid w:val="001F470A"/>
    <w:rsid w:val="001F7FB3"/>
    <w:rsid w:val="0020105B"/>
    <w:rsid w:val="0020441E"/>
    <w:rsid w:val="002079AA"/>
    <w:rsid w:val="00212BB5"/>
    <w:rsid w:val="00215F7B"/>
    <w:rsid w:val="00217081"/>
    <w:rsid w:val="00223018"/>
    <w:rsid w:val="00226C14"/>
    <w:rsid w:val="00240A16"/>
    <w:rsid w:val="00243253"/>
    <w:rsid w:val="0025094A"/>
    <w:rsid w:val="00250EEB"/>
    <w:rsid w:val="00252753"/>
    <w:rsid w:val="00253322"/>
    <w:rsid w:val="00255FDF"/>
    <w:rsid w:val="00256078"/>
    <w:rsid w:val="00262417"/>
    <w:rsid w:val="00262544"/>
    <w:rsid w:val="00264F72"/>
    <w:rsid w:val="00270675"/>
    <w:rsid w:val="00276BB2"/>
    <w:rsid w:val="002810F6"/>
    <w:rsid w:val="00284860"/>
    <w:rsid w:val="002851AE"/>
    <w:rsid w:val="00285373"/>
    <w:rsid w:val="002871FF"/>
    <w:rsid w:val="002873C8"/>
    <w:rsid w:val="002920F7"/>
    <w:rsid w:val="0029244D"/>
    <w:rsid w:val="002959B7"/>
    <w:rsid w:val="002A79CE"/>
    <w:rsid w:val="002B210B"/>
    <w:rsid w:val="002B3102"/>
    <w:rsid w:val="002B4A9F"/>
    <w:rsid w:val="002B59E9"/>
    <w:rsid w:val="002B78F0"/>
    <w:rsid w:val="002D24E6"/>
    <w:rsid w:val="002E296B"/>
    <w:rsid w:val="002E3798"/>
    <w:rsid w:val="002E421A"/>
    <w:rsid w:val="002E453E"/>
    <w:rsid w:val="002E6371"/>
    <w:rsid w:val="002E7EEC"/>
    <w:rsid w:val="002F0023"/>
    <w:rsid w:val="002F1707"/>
    <w:rsid w:val="002F3174"/>
    <w:rsid w:val="002F553F"/>
    <w:rsid w:val="00310D6D"/>
    <w:rsid w:val="00311E5C"/>
    <w:rsid w:val="00312539"/>
    <w:rsid w:val="00313947"/>
    <w:rsid w:val="00314D1B"/>
    <w:rsid w:val="00315095"/>
    <w:rsid w:val="0032359B"/>
    <w:rsid w:val="00323904"/>
    <w:rsid w:val="003244F5"/>
    <w:rsid w:val="00324586"/>
    <w:rsid w:val="0032506A"/>
    <w:rsid w:val="0033277A"/>
    <w:rsid w:val="00346363"/>
    <w:rsid w:val="00346EC5"/>
    <w:rsid w:val="00367FF4"/>
    <w:rsid w:val="00371DE4"/>
    <w:rsid w:val="00372D53"/>
    <w:rsid w:val="00375801"/>
    <w:rsid w:val="0038141F"/>
    <w:rsid w:val="00383AD4"/>
    <w:rsid w:val="003878EE"/>
    <w:rsid w:val="00392981"/>
    <w:rsid w:val="003933D3"/>
    <w:rsid w:val="0039526B"/>
    <w:rsid w:val="00396706"/>
    <w:rsid w:val="003A2E8E"/>
    <w:rsid w:val="003A4676"/>
    <w:rsid w:val="003B15A8"/>
    <w:rsid w:val="003B5657"/>
    <w:rsid w:val="003C0785"/>
    <w:rsid w:val="003C178E"/>
    <w:rsid w:val="003C32A7"/>
    <w:rsid w:val="003C4165"/>
    <w:rsid w:val="003C7359"/>
    <w:rsid w:val="003D2121"/>
    <w:rsid w:val="003D31EC"/>
    <w:rsid w:val="003D3262"/>
    <w:rsid w:val="003D3467"/>
    <w:rsid w:val="003D50A4"/>
    <w:rsid w:val="003E375B"/>
    <w:rsid w:val="003F3058"/>
    <w:rsid w:val="003F3303"/>
    <w:rsid w:val="003F4B26"/>
    <w:rsid w:val="003F65A7"/>
    <w:rsid w:val="003F6FDE"/>
    <w:rsid w:val="004006C6"/>
    <w:rsid w:val="00401D23"/>
    <w:rsid w:val="0040572D"/>
    <w:rsid w:val="00410740"/>
    <w:rsid w:val="00420EB0"/>
    <w:rsid w:val="00422E1C"/>
    <w:rsid w:val="004250EA"/>
    <w:rsid w:val="004277FD"/>
    <w:rsid w:val="0043038F"/>
    <w:rsid w:val="0043217F"/>
    <w:rsid w:val="004325BA"/>
    <w:rsid w:val="004349F5"/>
    <w:rsid w:val="00436380"/>
    <w:rsid w:val="004417B7"/>
    <w:rsid w:val="00443F5D"/>
    <w:rsid w:val="00453254"/>
    <w:rsid w:val="0046667A"/>
    <w:rsid w:val="00467D3F"/>
    <w:rsid w:val="00470197"/>
    <w:rsid w:val="00470994"/>
    <w:rsid w:val="00470D47"/>
    <w:rsid w:val="00475962"/>
    <w:rsid w:val="00476C6C"/>
    <w:rsid w:val="00477211"/>
    <w:rsid w:val="00483A93"/>
    <w:rsid w:val="004901F8"/>
    <w:rsid w:val="00492737"/>
    <w:rsid w:val="004927B4"/>
    <w:rsid w:val="00493747"/>
    <w:rsid w:val="004960CF"/>
    <w:rsid w:val="004A0875"/>
    <w:rsid w:val="004A2ACD"/>
    <w:rsid w:val="004A3CB2"/>
    <w:rsid w:val="004A4426"/>
    <w:rsid w:val="004A56B1"/>
    <w:rsid w:val="004A613C"/>
    <w:rsid w:val="004B2B2B"/>
    <w:rsid w:val="004B4522"/>
    <w:rsid w:val="004B607E"/>
    <w:rsid w:val="004C1ABA"/>
    <w:rsid w:val="004C38FD"/>
    <w:rsid w:val="004D5E72"/>
    <w:rsid w:val="004E31DD"/>
    <w:rsid w:val="004E47DD"/>
    <w:rsid w:val="004E5BCF"/>
    <w:rsid w:val="004E68CE"/>
    <w:rsid w:val="004F23D2"/>
    <w:rsid w:val="00501BC1"/>
    <w:rsid w:val="00501D53"/>
    <w:rsid w:val="0050468F"/>
    <w:rsid w:val="00514CF3"/>
    <w:rsid w:val="005205BF"/>
    <w:rsid w:val="005206CC"/>
    <w:rsid w:val="00520E96"/>
    <w:rsid w:val="00525C94"/>
    <w:rsid w:val="00526174"/>
    <w:rsid w:val="0053555B"/>
    <w:rsid w:val="00536957"/>
    <w:rsid w:val="00540E50"/>
    <w:rsid w:val="0054256A"/>
    <w:rsid w:val="00555C6C"/>
    <w:rsid w:val="00555FA3"/>
    <w:rsid w:val="005574D2"/>
    <w:rsid w:val="00560F2E"/>
    <w:rsid w:val="005617FA"/>
    <w:rsid w:val="00564771"/>
    <w:rsid w:val="005648F2"/>
    <w:rsid w:val="00565945"/>
    <w:rsid w:val="0056608A"/>
    <w:rsid w:val="00566981"/>
    <w:rsid w:val="005706AC"/>
    <w:rsid w:val="005754FC"/>
    <w:rsid w:val="00584561"/>
    <w:rsid w:val="005862E1"/>
    <w:rsid w:val="00597154"/>
    <w:rsid w:val="00597FD5"/>
    <w:rsid w:val="005A06D5"/>
    <w:rsid w:val="005A57E2"/>
    <w:rsid w:val="005B1154"/>
    <w:rsid w:val="005B4042"/>
    <w:rsid w:val="005B4326"/>
    <w:rsid w:val="005B5A42"/>
    <w:rsid w:val="005B65ED"/>
    <w:rsid w:val="005B72C5"/>
    <w:rsid w:val="005B7B2E"/>
    <w:rsid w:val="005C1629"/>
    <w:rsid w:val="005C2790"/>
    <w:rsid w:val="005C4C70"/>
    <w:rsid w:val="005C5EAE"/>
    <w:rsid w:val="005C6AA3"/>
    <w:rsid w:val="005D0637"/>
    <w:rsid w:val="005D4FCD"/>
    <w:rsid w:val="005E5CDF"/>
    <w:rsid w:val="005E614B"/>
    <w:rsid w:val="005F40C2"/>
    <w:rsid w:val="005F6B27"/>
    <w:rsid w:val="005F71A9"/>
    <w:rsid w:val="00602E2F"/>
    <w:rsid w:val="0060505B"/>
    <w:rsid w:val="006054C0"/>
    <w:rsid w:val="006073EF"/>
    <w:rsid w:val="00611F80"/>
    <w:rsid w:val="00616446"/>
    <w:rsid w:val="00617C9B"/>
    <w:rsid w:val="00621F7A"/>
    <w:rsid w:val="00623F02"/>
    <w:rsid w:val="00630F71"/>
    <w:rsid w:val="00643597"/>
    <w:rsid w:val="00644F79"/>
    <w:rsid w:val="00654211"/>
    <w:rsid w:val="00655440"/>
    <w:rsid w:val="006634B9"/>
    <w:rsid w:val="00663772"/>
    <w:rsid w:val="006724E9"/>
    <w:rsid w:val="00677799"/>
    <w:rsid w:val="0068056E"/>
    <w:rsid w:val="0068359B"/>
    <w:rsid w:val="006837A1"/>
    <w:rsid w:val="00685B7E"/>
    <w:rsid w:val="00691A5C"/>
    <w:rsid w:val="006922D3"/>
    <w:rsid w:val="006931A0"/>
    <w:rsid w:val="00696BF2"/>
    <w:rsid w:val="006A0BA0"/>
    <w:rsid w:val="006A7FAA"/>
    <w:rsid w:val="006B0D79"/>
    <w:rsid w:val="006B3B21"/>
    <w:rsid w:val="006B4427"/>
    <w:rsid w:val="006D42B1"/>
    <w:rsid w:val="006E0406"/>
    <w:rsid w:val="006E0718"/>
    <w:rsid w:val="006E28B7"/>
    <w:rsid w:val="006E49E5"/>
    <w:rsid w:val="006E6557"/>
    <w:rsid w:val="006F1DBD"/>
    <w:rsid w:val="006F25EC"/>
    <w:rsid w:val="006F2F0F"/>
    <w:rsid w:val="006F34CE"/>
    <w:rsid w:val="006F3827"/>
    <w:rsid w:val="006F750E"/>
    <w:rsid w:val="00704A73"/>
    <w:rsid w:val="00714346"/>
    <w:rsid w:val="00715826"/>
    <w:rsid w:val="00716895"/>
    <w:rsid w:val="007208CB"/>
    <w:rsid w:val="00722F32"/>
    <w:rsid w:val="00723760"/>
    <w:rsid w:val="00724072"/>
    <w:rsid w:val="0072495F"/>
    <w:rsid w:val="00727A92"/>
    <w:rsid w:val="007313AC"/>
    <w:rsid w:val="00733362"/>
    <w:rsid w:val="00736236"/>
    <w:rsid w:val="0074105E"/>
    <w:rsid w:val="00746013"/>
    <w:rsid w:val="0074723C"/>
    <w:rsid w:val="00752BB2"/>
    <w:rsid w:val="00753649"/>
    <w:rsid w:val="007574AF"/>
    <w:rsid w:val="00764308"/>
    <w:rsid w:val="007653AE"/>
    <w:rsid w:val="00771089"/>
    <w:rsid w:val="00773CA2"/>
    <w:rsid w:val="00774AF3"/>
    <w:rsid w:val="00782539"/>
    <w:rsid w:val="00782E7F"/>
    <w:rsid w:val="0078797E"/>
    <w:rsid w:val="0079353B"/>
    <w:rsid w:val="007969CB"/>
    <w:rsid w:val="007A075D"/>
    <w:rsid w:val="007A09EC"/>
    <w:rsid w:val="007A138B"/>
    <w:rsid w:val="007A2993"/>
    <w:rsid w:val="007A593E"/>
    <w:rsid w:val="007B3DC0"/>
    <w:rsid w:val="007B6995"/>
    <w:rsid w:val="007C2DC5"/>
    <w:rsid w:val="007C462B"/>
    <w:rsid w:val="007D1794"/>
    <w:rsid w:val="007D2E06"/>
    <w:rsid w:val="007D5933"/>
    <w:rsid w:val="007D62D8"/>
    <w:rsid w:val="007D6CA4"/>
    <w:rsid w:val="007D7474"/>
    <w:rsid w:val="007E39A0"/>
    <w:rsid w:val="007F076A"/>
    <w:rsid w:val="007F177D"/>
    <w:rsid w:val="00815A02"/>
    <w:rsid w:val="00825627"/>
    <w:rsid w:val="00827EEE"/>
    <w:rsid w:val="008312F2"/>
    <w:rsid w:val="008313BF"/>
    <w:rsid w:val="008315B6"/>
    <w:rsid w:val="00831FAF"/>
    <w:rsid w:val="0083515E"/>
    <w:rsid w:val="00840F30"/>
    <w:rsid w:val="00842066"/>
    <w:rsid w:val="00845BCF"/>
    <w:rsid w:val="00852539"/>
    <w:rsid w:val="008534E6"/>
    <w:rsid w:val="00857FF1"/>
    <w:rsid w:val="008606B5"/>
    <w:rsid w:val="00862942"/>
    <w:rsid w:val="008749A6"/>
    <w:rsid w:val="00877E7C"/>
    <w:rsid w:val="00881003"/>
    <w:rsid w:val="008A0418"/>
    <w:rsid w:val="008A3A03"/>
    <w:rsid w:val="008B5D05"/>
    <w:rsid w:val="008B5F89"/>
    <w:rsid w:val="008C05CA"/>
    <w:rsid w:val="008D090F"/>
    <w:rsid w:val="008D265A"/>
    <w:rsid w:val="008D3F43"/>
    <w:rsid w:val="008D54E7"/>
    <w:rsid w:val="008E0941"/>
    <w:rsid w:val="008E3AA5"/>
    <w:rsid w:val="008E5DCD"/>
    <w:rsid w:val="008E7DD2"/>
    <w:rsid w:val="008F45C9"/>
    <w:rsid w:val="0090264F"/>
    <w:rsid w:val="0090333B"/>
    <w:rsid w:val="009044DA"/>
    <w:rsid w:val="009046F1"/>
    <w:rsid w:val="009074A8"/>
    <w:rsid w:val="00914F44"/>
    <w:rsid w:val="009200D5"/>
    <w:rsid w:val="0093030B"/>
    <w:rsid w:val="00930361"/>
    <w:rsid w:val="0093568D"/>
    <w:rsid w:val="00936459"/>
    <w:rsid w:val="009374E6"/>
    <w:rsid w:val="00942BD3"/>
    <w:rsid w:val="00944222"/>
    <w:rsid w:val="009521BE"/>
    <w:rsid w:val="00953AAF"/>
    <w:rsid w:val="0095725C"/>
    <w:rsid w:val="00957FF2"/>
    <w:rsid w:val="00961450"/>
    <w:rsid w:val="00964E41"/>
    <w:rsid w:val="00972AC7"/>
    <w:rsid w:val="00977316"/>
    <w:rsid w:val="00982FC4"/>
    <w:rsid w:val="00985806"/>
    <w:rsid w:val="009950C2"/>
    <w:rsid w:val="00997219"/>
    <w:rsid w:val="009975D7"/>
    <w:rsid w:val="009A1A2A"/>
    <w:rsid w:val="009B0B6A"/>
    <w:rsid w:val="009B7FF5"/>
    <w:rsid w:val="009C4664"/>
    <w:rsid w:val="009D1668"/>
    <w:rsid w:val="009D5467"/>
    <w:rsid w:val="009D6EF1"/>
    <w:rsid w:val="009E7EAE"/>
    <w:rsid w:val="009F3E62"/>
    <w:rsid w:val="00A0078B"/>
    <w:rsid w:val="00A023AE"/>
    <w:rsid w:val="00A109B8"/>
    <w:rsid w:val="00A15053"/>
    <w:rsid w:val="00A17047"/>
    <w:rsid w:val="00A31D12"/>
    <w:rsid w:val="00A32E70"/>
    <w:rsid w:val="00A35805"/>
    <w:rsid w:val="00A36199"/>
    <w:rsid w:val="00A3797F"/>
    <w:rsid w:val="00A37B2E"/>
    <w:rsid w:val="00A37D60"/>
    <w:rsid w:val="00A42EA1"/>
    <w:rsid w:val="00A45CA0"/>
    <w:rsid w:val="00A524B0"/>
    <w:rsid w:val="00A547F2"/>
    <w:rsid w:val="00A56421"/>
    <w:rsid w:val="00A62E14"/>
    <w:rsid w:val="00A66229"/>
    <w:rsid w:val="00A85536"/>
    <w:rsid w:val="00A90ED8"/>
    <w:rsid w:val="00AA0CBA"/>
    <w:rsid w:val="00AA3443"/>
    <w:rsid w:val="00AA42EC"/>
    <w:rsid w:val="00AA5AEE"/>
    <w:rsid w:val="00AA7B3A"/>
    <w:rsid w:val="00AB0F64"/>
    <w:rsid w:val="00AC0315"/>
    <w:rsid w:val="00AC6235"/>
    <w:rsid w:val="00AD1D05"/>
    <w:rsid w:val="00AD4C74"/>
    <w:rsid w:val="00AE355E"/>
    <w:rsid w:val="00AE69D7"/>
    <w:rsid w:val="00AF1268"/>
    <w:rsid w:val="00AF3239"/>
    <w:rsid w:val="00AF5A8B"/>
    <w:rsid w:val="00B00127"/>
    <w:rsid w:val="00B003D8"/>
    <w:rsid w:val="00B03345"/>
    <w:rsid w:val="00B16A41"/>
    <w:rsid w:val="00B20314"/>
    <w:rsid w:val="00B20CE1"/>
    <w:rsid w:val="00B239D0"/>
    <w:rsid w:val="00B27261"/>
    <w:rsid w:val="00B27C28"/>
    <w:rsid w:val="00B32AB6"/>
    <w:rsid w:val="00B4091B"/>
    <w:rsid w:val="00B470A3"/>
    <w:rsid w:val="00B557BA"/>
    <w:rsid w:val="00B60F37"/>
    <w:rsid w:val="00B66473"/>
    <w:rsid w:val="00B70F0D"/>
    <w:rsid w:val="00B74DF8"/>
    <w:rsid w:val="00B86B36"/>
    <w:rsid w:val="00B92186"/>
    <w:rsid w:val="00B924F3"/>
    <w:rsid w:val="00B97BE5"/>
    <w:rsid w:val="00BA2E7F"/>
    <w:rsid w:val="00BA486B"/>
    <w:rsid w:val="00BA6F33"/>
    <w:rsid w:val="00BB19D5"/>
    <w:rsid w:val="00BB4CE9"/>
    <w:rsid w:val="00BB6C3B"/>
    <w:rsid w:val="00BD69CE"/>
    <w:rsid w:val="00BE1711"/>
    <w:rsid w:val="00BE4EEB"/>
    <w:rsid w:val="00BE5315"/>
    <w:rsid w:val="00BF2FE7"/>
    <w:rsid w:val="00C01DD3"/>
    <w:rsid w:val="00C05C0D"/>
    <w:rsid w:val="00C06416"/>
    <w:rsid w:val="00C072C8"/>
    <w:rsid w:val="00C07562"/>
    <w:rsid w:val="00C1514E"/>
    <w:rsid w:val="00C211CF"/>
    <w:rsid w:val="00C35381"/>
    <w:rsid w:val="00C536BA"/>
    <w:rsid w:val="00C543E7"/>
    <w:rsid w:val="00C6381F"/>
    <w:rsid w:val="00C650B4"/>
    <w:rsid w:val="00C71CE5"/>
    <w:rsid w:val="00C76DA8"/>
    <w:rsid w:val="00C81EDD"/>
    <w:rsid w:val="00C82481"/>
    <w:rsid w:val="00C94ECC"/>
    <w:rsid w:val="00CA74CC"/>
    <w:rsid w:val="00CB30E4"/>
    <w:rsid w:val="00CB394D"/>
    <w:rsid w:val="00CB3D14"/>
    <w:rsid w:val="00CB6AFB"/>
    <w:rsid w:val="00CC142E"/>
    <w:rsid w:val="00CC1E79"/>
    <w:rsid w:val="00CD3810"/>
    <w:rsid w:val="00CD735D"/>
    <w:rsid w:val="00CE17A3"/>
    <w:rsid w:val="00CF0BBB"/>
    <w:rsid w:val="00CF127C"/>
    <w:rsid w:val="00CF431B"/>
    <w:rsid w:val="00CF44B4"/>
    <w:rsid w:val="00CF5028"/>
    <w:rsid w:val="00D03A4F"/>
    <w:rsid w:val="00D13664"/>
    <w:rsid w:val="00D25C76"/>
    <w:rsid w:val="00D26A65"/>
    <w:rsid w:val="00D2713E"/>
    <w:rsid w:val="00D35736"/>
    <w:rsid w:val="00D36DB2"/>
    <w:rsid w:val="00D37978"/>
    <w:rsid w:val="00D4387A"/>
    <w:rsid w:val="00D46A50"/>
    <w:rsid w:val="00D51D70"/>
    <w:rsid w:val="00D65EA1"/>
    <w:rsid w:val="00D74C63"/>
    <w:rsid w:val="00D7677F"/>
    <w:rsid w:val="00D81817"/>
    <w:rsid w:val="00D84F2B"/>
    <w:rsid w:val="00D8582B"/>
    <w:rsid w:val="00D868B1"/>
    <w:rsid w:val="00D86A4D"/>
    <w:rsid w:val="00D9209A"/>
    <w:rsid w:val="00D93698"/>
    <w:rsid w:val="00D946F1"/>
    <w:rsid w:val="00D956C4"/>
    <w:rsid w:val="00D97051"/>
    <w:rsid w:val="00D9758A"/>
    <w:rsid w:val="00DA173C"/>
    <w:rsid w:val="00DA18D5"/>
    <w:rsid w:val="00DA3553"/>
    <w:rsid w:val="00DA404E"/>
    <w:rsid w:val="00DA5862"/>
    <w:rsid w:val="00DB1768"/>
    <w:rsid w:val="00DD3946"/>
    <w:rsid w:val="00DD3B77"/>
    <w:rsid w:val="00DD3C1D"/>
    <w:rsid w:val="00DF6787"/>
    <w:rsid w:val="00E018D2"/>
    <w:rsid w:val="00E01E24"/>
    <w:rsid w:val="00E0215D"/>
    <w:rsid w:val="00E039ED"/>
    <w:rsid w:val="00E04384"/>
    <w:rsid w:val="00E062CD"/>
    <w:rsid w:val="00E147C1"/>
    <w:rsid w:val="00E16780"/>
    <w:rsid w:val="00E20BDC"/>
    <w:rsid w:val="00E2125C"/>
    <w:rsid w:val="00E23D6C"/>
    <w:rsid w:val="00E253CA"/>
    <w:rsid w:val="00E257CF"/>
    <w:rsid w:val="00E25CB3"/>
    <w:rsid w:val="00E272E3"/>
    <w:rsid w:val="00E33B4E"/>
    <w:rsid w:val="00E36FFA"/>
    <w:rsid w:val="00E3786E"/>
    <w:rsid w:val="00E37C41"/>
    <w:rsid w:val="00E43DCB"/>
    <w:rsid w:val="00E459A1"/>
    <w:rsid w:val="00E47C0B"/>
    <w:rsid w:val="00E6300F"/>
    <w:rsid w:val="00E637C9"/>
    <w:rsid w:val="00E63B19"/>
    <w:rsid w:val="00E70CF9"/>
    <w:rsid w:val="00E74043"/>
    <w:rsid w:val="00E75845"/>
    <w:rsid w:val="00E80E51"/>
    <w:rsid w:val="00E87C4B"/>
    <w:rsid w:val="00E91E72"/>
    <w:rsid w:val="00E97597"/>
    <w:rsid w:val="00EA6738"/>
    <w:rsid w:val="00EA6A0C"/>
    <w:rsid w:val="00EA7C29"/>
    <w:rsid w:val="00EC0535"/>
    <w:rsid w:val="00EC2F1D"/>
    <w:rsid w:val="00ED1FAD"/>
    <w:rsid w:val="00EE10F9"/>
    <w:rsid w:val="00EF6245"/>
    <w:rsid w:val="00F00334"/>
    <w:rsid w:val="00F02884"/>
    <w:rsid w:val="00F0521B"/>
    <w:rsid w:val="00F07527"/>
    <w:rsid w:val="00F0766D"/>
    <w:rsid w:val="00F13971"/>
    <w:rsid w:val="00F144D3"/>
    <w:rsid w:val="00F3545A"/>
    <w:rsid w:val="00F36B75"/>
    <w:rsid w:val="00F37FB2"/>
    <w:rsid w:val="00F4032B"/>
    <w:rsid w:val="00F405CA"/>
    <w:rsid w:val="00F45238"/>
    <w:rsid w:val="00F53BD0"/>
    <w:rsid w:val="00F54E92"/>
    <w:rsid w:val="00F61BA0"/>
    <w:rsid w:val="00F66B43"/>
    <w:rsid w:val="00F74359"/>
    <w:rsid w:val="00F7662C"/>
    <w:rsid w:val="00FA361A"/>
    <w:rsid w:val="00FA3E5A"/>
    <w:rsid w:val="00FB6B9C"/>
    <w:rsid w:val="00FB6D61"/>
    <w:rsid w:val="00FC2A0A"/>
    <w:rsid w:val="00FC479E"/>
    <w:rsid w:val="00FC5C89"/>
    <w:rsid w:val="00FC68CF"/>
    <w:rsid w:val="00FC7A5A"/>
    <w:rsid w:val="00FC7C52"/>
    <w:rsid w:val="00FD56EA"/>
    <w:rsid w:val="00FD5F85"/>
    <w:rsid w:val="00FE5D6B"/>
    <w:rsid w:val="00FF1002"/>
    <w:rsid w:val="00FF15EC"/>
    <w:rsid w:val="00FF5BFC"/>
    <w:rsid w:val="03AE43F2"/>
    <w:rsid w:val="088B17E5"/>
    <w:rsid w:val="0CE157A4"/>
    <w:rsid w:val="17B557A7"/>
    <w:rsid w:val="350B7EC1"/>
    <w:rsid w:val="481B7D5E"/>
    <w:rsid w:val="52F05D14"/>
    <w:rsid w:val="64C257FC"/>
    <w:rsid w:val="740C1579"/>
    <w:rsid w:val="7DAE7A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99"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99"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annotation text"/>
    <w:basedOn w:val="1"/>
    <w:link w:val="15"/>
    <w:semiHidden/>
    <w:unhideWhenUsed/>
    <w:qFormat/>
    <w:uiPriority w:val="99"/>
    <w:pPr>
      <w:autoSpaceDE/>
      <w:autoSpaceDN/>
      <w:snapToGrid/>
      <w:spacing w:line="590" w:lineRule="exact"/>
      <w:ind w:firstLine="200" w:firstLineChars="200"/>
      <w:jc w:val="left"/>
    </w:pPr>
    <w:rPr>
      <w:rFonts w:cs="FZFSK--GBK1-0"/>
      <w:snapToGrid/>
      <w:szCs w:val="32"/>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7">
    <w:name w:val="annotation subject"/>
    <w:basedOn w:val="4"/>
    <w:next w:val="4"/>
    <w:link w:val="17"/>
    <w:semiHidden/>
    <w:unhideWhenUsed/>
    <w:qFormat/>
    <w:uiPriority w:val="0"/>
    <w:pPr>
      <w:autoSpaceDE w:val="0"/>
      <w:autoSpaceDN w:val="0"/>
      <w:snapToGrid w:val="0"/>
      <w:spacing w:line="590" w:lineRule="atLeast"/>
      <w:ind w:firstLine="624" w:firstLineChars="0"/>
    </w:pPr>
    <w:rPr>
      <w:rFonts w:cs="Times New Roman"/>
      <w:b/>
      <w:bCs/>
      <w:snapToGrid w:val="0"/>
      <w:szCs w:val="20"/>
    </w:rPr>
  </w:style>
  <w:style w:type="character" w:styleId="10">
    <w:name w:val="page number"/>
    <w:basedOn w:val="9"/>
    <w:qFormat/>
    <w:uiPriority w:val="0"/>
  </w:style>
  <w:style w:type="character" w:styleId="11">
    <w:name w:val="annotation reference"/>
    <w:basedOn w:val="9"/>
    <w:semiHidden/>
    <w:unhideWhenUsed/>
    <w:qFormat/>
    <w:uiPriority w:val="99"/>
    <w:rPr>
      <w:sz w:val="21"/>
      <w:szCs w:val="21"/>
    </w:rPr>
  </w:style>
  <w:style w:type="paragraph" w:customStyle="1" w:styleId="12">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3">
    <w:name w:val="标题2"/>
    <w:basedOn w:val="1"/>
    <w:next w:val="1"/>
    <w:qFormat/>
    <w:uiPriority w:val="0"/>
    <w:pPr>
      <w:ind w:firstLine="0"/>
      <w:jc w:val="center"/>
    </w:pPr>
    <w:rPr>
      <w:rFonts w:eastAsia="方正楷体_GBK"/>
    </w:rPr>
  </w:style>
  <w:style w:type="paragraph" w:customStyle="1" w:styleId="14">
    <w:name w:val="标题3"/>
    <w:basedOn w:val="1"/>
    <w:next w:val="1"/>
    <w:qFormat/>
    <w:uiPriority w:val="0"/>
    <w:rPr>
      <w:rFonts w:eastAsia="方正黑体_GBK"/>
    </w:rPr>
  </w:style>
  <w:style w:type="character" w:customStyle="1" w:styleId="15">
    <w:name w:val="批注文字 字符"/>
    <w:basedOn w:val="9"/>
    <w:link w:val="4"/>
    <w:semiHidden/>
    <w:qFormat/>
    <w:uiPriority w:val="99"/>
    <w:rPr>
      <w:rFonts w:eastAsia="方正仿宋_GBK" w:cs="FZFSK--GBK1-0"/>
      <w:sz w:val="32"/>
      <w:szCs w:val="32"/>
    </w:rPr>
  </w:style>
  <w:style w:type="paragraph" w:customStyle="1" w:styleId="16">
    <w:name w:val="Revision"/>
    <w:hidden/>
    <w:semiHidden/>
    <w:qFormat/>
    <w:uiPriority w:val="99"/>
    <w:rPr>
      <w:rFonts w:ascii="Times New Roman" w:hAnsi="Times New Roman" w:eastAsia="方正仿宋_GBK" w:cs="Times New Roman"/>
      <w:snapToGrid w:val="0"/>
      <w:sz w:val="32"/>
      <w:lang w:val="en-US" w:eastAsia="zh-CN" w:bidi="ar-SA"/>
    </w:rPr>
  </w:style>
  <w:style w:type="character" w:customStyle="1" w:styleId="17">
    <w:name w:val="批注主题 字符"/>
    <w:basedOn w:val="15"/>
    <w:link w:val="7"/>
    <w:semiHidden/>
    <w:qFormat/>
    <w:uiPriority w:val="0"/>
    <w:rPr>
      <w:rFonts w:eastAsia="方正仿宋_GBK" w:cs="FZFSK--GBK1-0"/>
      <w:b/>
      <w:bCs/>
      <w:snapToGrid w:val="0"/>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316</Words>
  <Characters>1804</Characters>
  <Lines>15</Lines>
  <Paragraphs>4</Paragraphs>
  <TotalTime>24</TotalTime>
  <ScaleCrop>false</ScaleCrop>
  <LinksUpToDate>false</LinksUpToDate>
  <CharactersWithSpaces>2116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2022-04-26T10:00:00Z</dcterms:created>
  <dc:creator>admin</dc:creator>
  <cp:lastModifiedBy>uos</cp:lastModifiedBy>
  <cp:lastPrinted>2022-11-21T15:15:00Z</cp:lastPrinted>
  <dcterms:modified xsi:type="dcterms:W3CDTF">2022-11-22T08:43:45Z</dcterms:modified>
  <dc:title>公文通报模板</dc:title>
  <cp:revision>281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