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Regular" w:hAnsi="Times New Roman Regular" w:eastAsia="方正黑体_GBK" w:cs="Times New Roman Regular"/>
          <w:sz w:val="32"/>
          <w:szCs w:val="32"/>
          <w:lang w:val="en-US" w:eastAsia="zh-CN"/>
        </w:rPr>
      </w:pPr>
      <w:bookmarkStart w:id="0" w:name="_GoBack"/>
      <w:bookmarkEnd w:id="0"/>
      <w:r>
        <w:rPr>
          <w:rFonts w:hint="default" w:ascii="Times New Roman Regular" w:hAnsi="Times New Roman Regular" w:eastAsia="方正黑体_GBK" w:cs="Times New Roman Regular"/>
          <w:sz w:val="32"/>
          <w:szCs w:val="32"/>
          <w:lang w:val="en-US" w:eastAsia="zh-CN"/>
        </w:rPr>
        <w:t>附件1</w:t>
      </w:r>
    </w:p>
    <w:p>
      <w:pPr>
        <w:spacing w:line="590" w:lineRule="exact"/>
        <w:jc w:val="left"/>
        <w:rPr>
          <w:rFonts w:hint="eastAsia" w:ascii="方正黑体_GBK" w:hAnsi="方正黑体_GBK" w:eastAsia="方正黑体_GBK" w:cs="方正黑体_GBK"/>
          <w:sz w:val="32"/>
          <w:szCs w:val="32"/>
          <w:lang w:val="en-US" w:eastAsia="zh-CN"/>
        </w:rPr>
      </w:pPr>
    </w:p>
    <w:p>
      <w:pPr>
        <w:spacing w:line="590" w:lineRule="exact"/>
        <w:jc w:val="center"/>
        <w:rPr>
          <w:rFonts w:ascii="方正小标宋_GBK" w:eastAsia="方正小标宋_GBK"/>
          <w:sz w:val="44"/>
          <w:szCs w:val="44"/>
        </w:rPr>
      </w:pPr>
      <w:r>
        <w:rPr>
          <w:rFonts w:hint="eastAsia" w:ascii="方正小标宋_GBK" w:eastAsia="方正小标宋_GBK"/>
          <w:sz w:val="44"/>
          <w:szCs w:val="44"/>
        </w:rPr>
        <w:t>江苏省创新联合体建设工作指引（试行）</w:t>
      </w:r>
    </w:p>
    <w:p>
      <w:pPr>
        <w:spacing w:line="590" w:lineRule="exact"/>
        <w:jc w:val="center"/>
        <w:rPr>
          <w:rFonts w:ascii="方正楷体_GBK" w:eastAsia="方正楷体_GBK"/>
          <w:sz w:val="32"/>
          <w:szCs w:val="32"/>
        </w:rPr>
      </w:pPr>
      <w:r>
        <w:rPr>
          <w:rFonts w:hint="eastAsia" w:ascii="方正楷体_GBK" w:eastAsia="方正楷体_GBK"/>
          <w:sz w:val="32"/>
          <w:szCs w:val="32"/>
        </w:rPr>
        <w:t>（征求意见稿）</w:t>
      </w:r>
    </w:p>
    <w:p>
      <w:pPr>
        <w:spacing w:line="590" w:lineRule="exact"/>
        <w:ind w:firstLine="640"/>
        <w:rPr>
          <w:rFonts w:ascii="方正仿宋_GBK" w:eastAsia="方正仿宋_GBK"/>
          <w:sz w:val="32"/>
          <w:szCs w:val="32"/>
        </w:rPr>
      </w:pPr>
    </w:p>
    <w:p>
      <w:pPr>
        <w:spacing w:line="590" w:lineRule="exact"/>
        <w:ind w:firstLine="640"/>
        <w:rPr>
          <w:rFonts w:ascii="方正仿宋_GBK" w:eastAsia="方正仿宋_GBK"/>
          <w:sz w:val="32"/>
          <w:szCs w:val="32"/>
        </w:rPr>
      </w:pPr>
      <w:r>
        <w:rPr>
          <w:rFonts w:hint="eastAsia" w:ascii="方正仿宋_GBK" w:eastAsia="方正仿宋_GBK"/>
          <w:sz w:val="32"/>
          <w:szCs w:val="32"/>
        </w:rPr>
        <w:t>为打造具有全球影响力的产业科技创新中心，</w:t>
      </w:r>
      <w:r>
        <w:rPr>
          <w:rFonts w:ascii="Times New Roman Regular" w:hAnsi="Times New Roman Regular" w:eastAsia="方正仿宋_GBK" w:cs="Times New Roman Regular"/>
          <w:sz w:val="32"/>
          <w:szCs w:val="32"/>
        </w:rPr>
        <w:t>扎实推动</w:t>
      </w:r>
      <w:r>
        <w:rPr>
          <w:rFonts w:hint="eastAsia" w:ascii="方正仿宋_GBK" w:eastAsia="方正仿宋_GBK"/>
          <w:sz w:val="32"/>
          <w:szCs w:val="32"/>
        </w:rPr>
        <w:t>科技创新和产业创新深度融合，</w:t>
      </w:r>
      <w:r>
        <w:rPr>
          <w:rFonts w:ascii="Times New Roman" w:hAnsi="Times New Roman" w:eastAsia="方正仿宋_GBK" w:cs="Times New Roman"/>
          <w:sz w:val="32"/>
          <w:szCs w:val="32"/>
        </w:rPr>
        <w:t>因地制宜发展新质生产力，着力</w:t>
      </w:r>
      <w:r>
        <w:rPr>
          <w:rFonts w:hint="eastAsia" w:ascii="Times New Roman" w:hAnsi="Times New Roman" w:eastAsia="方正仿宋_GBK"/>
          <w:sz w:val="32"/>
          <w:szCs w:val="32"/>
        </w:rPr>
        <w:t>构建科技领军企业或重大科技平台牵头、高校院所支撑、各类创新主体协同的创新联合体，</w:t>
      </w:r>
      <w:r>
        <w:rPr>
          <w:rFonts w:hint="eastAsia" w:ascii="方正仿宋_GBK" w:eastAsia="方正仿宋_GBK"/>
          <w:sz w:val="32"/>
          <w:szCs w:val="32"/>
        </w:rPr>
        <w:t>加快突破制约产业发展的关键核心技术和重大前沿技术，制定以下工作指引。</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一、功能定位</w:t>
      </w:r>
    </w:p>
    <w:p>
      <w:pPr>
        <w:spacing w:line="590" w:lineRule="exact"/>
        <w:ind w:firstLine="640" w:firstLineChars="200"/>
        <w:rPr>
          <w:rFonts w:ascii="方正仿宋_GBK" w:hAnsi="Microsoft YaHei UI" w:eastAsia="方正仿宋_GBK"/>
          <w:color w:val="000000"/>
          <w:sz w:val="32"/>
          <w:szCs w:val="32"/>
          <w:shd w:val="clear" w:color="auto" w:fill="FFFFFF"/>
        </w:rPr>
      </w:pPr>
      <w:r>
        <w:rPr>
          <w:rFonts w:hint="eastAsia" w:ascii="方正仿宋_GBK" w:eastAsia="方正仿宋_GBK"/>
          <w:sz w:val="32"/>
          <w:szCs w:val="32"/>
        </w:rPr>
        <w:t>创新联合体是多个主体联合攻关的一种组织形式，以重大科技任务为牵引，以共同收益为纽带，以创新链、产业链、资金链、人才链深度融合为特征，由</w:t>
      </w:r>
      <w:r>
        <w:rPr>
          <w:rFonts w:hint="eastAsia" w:ascii="Times New Roman" w:hAnsi="Times New Roman" w:eastAsia="方正仿宋_GBK"/>
          <w:sz w:val="32"/>
          <w:szCs w:val="32"/>
        </w:rPr>
        <w:t>科技领军企业或重大创新平台牵头，整合产业链上下游</w:t>
      </w:r>
      <w:r>
        <w:rPr>
          <w:rFonts w:hint="eastAsia" w:ascii="方正仿宋_GBK" w:eastAsia="方正仿宋_GBK"/>
          <w:sz w:val="32"/>
          <w:szCs w:val="32"/>
        </w:rPr>
        <w:t>企业和高校院所等创新资源，依托明确的组织框架和运行机制开展协同攻关，是战略科技力量的重要组成部分。</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二、目标任务</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围绕“1650”现代化产业体系和“51010”战略性新兴产业集群，加快布局一批省级创新联合体，支持其</w:t>
      </w:r>
      <w:r>
        <w:rPr>
          <w:rFonts w:ascii="Times New Roman" w:hAnsi="Times New Roman" w:eastAsia="方正仿宋_GBK" w:cs="Times New Roman"/>
          <w:sz w:val="32"/>
          <w:szCs w:val="32"/>
        </w:rPr>
        <w:t>开展制约产业发展的</w:t>
      </w:r>
      <w:r>
        <w:rPr>
          <w:rFonts w:hint="eastAsia" w:ascii="方正仿宋_GBK" w:hAnsi="Times New Roman" w:eastAsia="方正仿宋_GBK" w:cs="Times New Roman"/>
          <w:sz w:val="32"/>
          <w:szCs w:val="32"/>
        </w:rPr>
        <w:t>“卡脖子”</w:t>
      </w:r>
      <w:r>
        <w:rPr>
          <w:rFonts w:ascii="Times New Roman" w:hAnsi="Times New Roman" w:eastAsia="方正仿宋_GBK" w:cs="Times New Roman"/>
          <w:sz w:val="32"/>
          <w:szCs w:val="32"/>
        </w:rPr>
        <w:t>技术、具有先发优势的关键技术、引领未来发展的基础前沿技术攻关，</w:t>
      </w:r>
      <w:r>
        <w:rPr>
          <w:rFonts w:hint="eastAsia" w:ascii="Times New Roman" w:hAnsi="Times New Roman" w:eastAsia="方正仿宋_GBK" w:cs="Times New Roman"/>
          <w:color w:val="000000" w:themeColor="text1"/>
          <w:sz w:val="32"/>
          <w:szCs w:val="32"/>
          <w14:textFill>
            <w14:solidFill>
              <w14:schemeClr w14:val="tx1"/>
            </w14:solidFill>
          </w14:textFill>
        </w:rPr>
        <w:t>努力探索形成可复制可推广的先进经验和标志性引领成果</w:t>
      </w:r>
      <w:r>
        <w:rPr>
          <w:rFonts w:ascii="Times New Roman" w:hAnsi="Times New Roman" w:eastAsia="方正仿宋_GBK" w:cs="Times New Roman"/>
          <w:sz w:val="32"/>
          <w:szCs w:val="32"/>
        </w:rPr>
        <w:t>。</w:t>
      </w:r>
      <w:r>
        <w:rPr>
          <w:rFonts w:hint="eastAsia" w:ascii="方正仿宋_GBK" w:hAnsi="Microsoft YaHei UI" w:eastAsia="方正仿宋_GBK"/>
          <w:color w:val="000000"/>
          <w:sz w:val="32"/>
          <w:szCs w:val="32"/>
          <w:shd w:val="clear" w:color="auto" w:fill="FFFFFF"/>
        </w:rPr>
        <w:t>鼓励长三角地区创新主体跨区域整合优势资源</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组建</w:t>
      </w:r>
      <w:r>
        <w:rPr>
          <w:rFonts w:hint="eastAsia" w:ascii="方正仿宋_GBK" w:hAnsi="Times New Roman" w:eastAsia="方正仿宋_GBK" w:cs="Times New Roman"/>
          <w:sz w:val="32"/>
          <w:szCs w:val="32"/>
        </w:rPr>
        <w:t>具有国际影响力的</w:t>
      </w:r>
      <w:r>
        <w:rPr>
          <w:rFonts w:hint="eastAsia" w:ascii="方正仿宋_GBK" w:hAnsi="Microsoft YaHei UI" w:eastAsia="方正仿宋_GBK"/>
          <w:color w:val="000000"/>
          <w:sz w:val="32"/>
          <w:szCs w:val="32"/>
          <w:shd w:val="clear" w:color="auto" w:fill="FFFFFF"/>
        </w:rPr>
        <w:t>创新联合体。</w:t>
      </w:r>
      <w:r>
        <w:rPr>
          <w:rFonts w:ascii="Times New Roman" w:hAnsi="Times New Roman" w:eastAsia="方正仿宋_GBK" w:cs="Times New Roman"/>
          <w:sz w:val="32"/>
          <w:szCs w:val="32"/>
        </w:rPr>
        <w:t>到2026</w:t>
      </w:r>
      <w:r>
        <w:rPr>
          <w:rFonts w:hint="eastAsia" w:ascii="Times New Roman" w:hAnsi="Times New Roman" w:eastAsia="方正仿宋_GBK" w:cs="Times New Roman"/>
          <w:sz w:val="32"/>
          <w:szCs w:val="32"/>
        </w:rPr>
        <w:t>年</w:t>
      </w:r>
      <w:r>
        <w:rPr>
          <w:rFonts w:hint="eastAsia" w:ascii="方正仿宋_GBK" w:hAnsi="Times New Roman" w:eastAsia="方正仿宋_GBK" w:cs="Times New Roman"/>
          <w:sz w:val="32"/>
          <w:szCs w:val="32"/>
        </w:rPr>
        <w:t>，省创新联合体力争达到</w:t>
      </w:r>
      <w:r>
        <w:rPr>
          <w:rFonts w:ascii="Times New Roman" w:hAnsi="Times New Roman" w:eastAsia="方正仿宋_GBK" w:cs="Times New Roman"/>
          <w:sz w:val="32"/>
          <w:szCs w:val="32"/>
        </w:rPr>
        <w:t>30</w:t>
      </w:r>
      <w:r>
        <w:rPr>
          <w:rFonts w:hint="eastAsia" w:ascii="方正仿宋_GBK" w:hAnsi="Times New Roman" w:eastAsia="方正仿宋_GBK" w:cs="Times New Roman"/>
          <w:sz w:val="32"/>
          <w:szCs w:val="32"/>
        </w:rPr>
        <w:t>家。</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三、组建原则</w:t>
      </w:r>
    </w:p>
    <w:p>
      <w:pPr>
        <w:adjustRightInd w:val="0"/>
        <w:snapToGrid w:val="0"/>
        <w:spacing w:line="590" w:lineRule="exact"/>
        <w:ind w:firstLine="640" w:firstLineChars="200"/>
        <w:rPr>
          <w:rFonts w:ascii="Times New Roman" w:hAnsi="Times New Roman" w:eastAsia="方正仿宋_GBK"/>
          <w:color w:val="000000"/>
          <w:sz w:val="32"/>
          <w:szCs w:val="32"/>
          <w:shd w:val="clear" w:color="auto" w:fill="FFFFFF"/>
        </w:rPr>
      </w:pPr>
      <w:r>
        <w:rPr>
          <w:rFonts w:hint="eastAsia" w:ascii="Times New Roman" w:hAnsi="Times New Roman" w:eastAsia="方正楷体_GBK"/>
          <w:bCs/>
          <w:color w:val="000000"/>
          <w:sz w:val="32"/>
          <w:szCs w:val="32"/>
          <w:shd w:val="clear" w:color="auto" w:fill="FFFFFF"/>
        </w:rPr>
        <w:t>（一）</w:t>
      </w:r>
      <w:r>
        <w:rPr>
          <w:rFonts w:ascii="Times New Roman" w:hAnsi="Times New Roman" w:eastAsia="方正楷体_GBK"/>
          <w:bCs/>
          <w:color w:val="000000"/>
          <w:sz w:val="32"/>
          <w:szCs w:val="32"/>
          <w:shd w:val="clear" w:color="auto" w:fill="FFFFFF"/>
        </w:rPr>
        <w:t>聚焦战略需求。</w:t>
      </w:r>
      <w:r>
        <w:rPr>
          <w:rFonts w:ascii="Times New Roman" w:hAnsi="Times New Roman" w:eastAsia="方正仿宋_GBK"/>
          <w:color w:val="000000"/>
          <w:sz w:val="32"/>
          <w:szCs w:val="32"/>
          <w:shd w:val="clear" w:color="auto" w:fill="FFFFFF"/>
        </w:rPr>
        <w:t>坚持面向实体经济，</w:t>
      </w:r>
      <w:r>
        <w:rPr>
          <w:rFonts w:hint="eastAsia" w:ascii="Times New Roman" w:hAnsi="Times New Roman" w:eastAsia="方正仿宋_GBK" w:cs="Times New Roman"/>
          <w:sz w:val="32"/>
          <w:szCs w:val="32"/>
        </w:rPr>
        <w:t>重点围绕</w:t>
      </w:r>
      <w:r>
        <w:rPr>
          <w:rFonts w:ascii="Times New Roman" w:hAnsi="Times New Roman" w:eastAsia="方正仿宋_GBK" w:cs="Times New Roman"/>
          <w:sz w:val="32"/>
          <w:szCs w:val="32"/>
        </w:rPr>
        <w:t>高端装备、集成电路、新能源、新材料、生物医药、新能源汽车、新型电力装备、节能环保、软件与信息服务、物联网、新一代信息通信、高技术船舶和海工装备、航空航天等新兴产业领域</w:t>
      </w:r>
      <w:r>
        <w:rPr>
          <w:rFonts w:hint="eastAsia" w:ascii="Times New Roman" w:hAnsi="Times New Roman" w:eastAsia="方正仿宋_GBK" w:cs="Times New Roman"/>
          <w:sz w:val="32"/>
          <w:szCs w:val="32"/>
        </w:rPr>
        <w:t>，以及</w:t>
      </w:r>
      <w:r>
        <w:rPr>
          <w:rFonts w:ascii="Times New Roman" w:hAnsi="Times New Roman" w:eastAsia="方正仿宋_GBK" w:cs="Times New Roman"/>
          <w:sz w:val="32"/>
          <w:szCs w:val="32"/>
        </w:rPr>
        <w:t>第三代半导体、通用人工智能、类脑智能、量子科技、氢能和新型储能、深海深地空天、合成生物、细胞和基因技术、未来网络、先进计算、元宇宙等</w:t>
      </w:r>
      <w:r>
        <w:rPr>
          <w:rFonts w:hint="eastAsia" w:ascii="Times New Roman" w:hAnsi="Times New Roman" w:eastAsia="方正仿宋_GBK" w:cs="Times New Roman"/>
          <w:sz w:val="32"/>
          <w:szCs w:val="32"/>
        </w:rPr>
        <w:t>未来产业领域</w:t>
      </w:r>
      <w:r>
        <w:rPr>
          <w:rFonts w:ascii="Times New Roman" w:hAnsi="Times New Roman" w:eastAsia="方正仿宋_GBK"/>
          <w:color w:val="000000"/>
          <w:sz w:val="32"/>
          <w:szCs w:val="32"/>
          <w:shd w:val="clear" w:color="auto" w:fill="FFFFFF"/>
        </w:rPr>
        <w:t>，</w:t>
      </w:r>
      <w:r>
        <w:rPr>
          <w:rFonts w:hint="eastAsia" w:ascii="Times New Roman" w:hAnsi="Times New Roman" w:eastAsia="方正仿宋_GBK"/>
          <w:color w:val="000000"/>
          <w:sz w:val="32"/>
          <w:szCs w:val="32"/>
          <w:shd w:val="clear" w:color="auto" w:fill="FFFFFF"/>
        </w:rPr>
        <w:t>聚焦急需突破的技术瓶颈、产业技术的迭代方向，整合创新资源、集中优势力量进行布局，</w:t>
      </w:r>
      <w:r>
        <w:rPr>
          <w:rFonts w:ascii="Times New Roman" w:hAnsi="Times New Roman" w:eastAsia="方正仿宋_GBK"/>
          <w:color w:val="000000"/>
          <w:sz w:val="32"/>
          <w:szCs w:val="32"/>
          <w:shd w:val="clear" w:color="auto" w:fill="FFFFFF"/>
        </w:rPr>
        <w:t>贯通产学研用创新链条，</w:t>
      </w:r>
      <w:r>
        <w:rPr>
          <w:rFonts w:hint="eastAsia" w:ascii="Times New Roman" w:hAnsi="Times New Roman" w:eastAsia="方正仿宋_GBK"/>
          <w:color w:val="000000"/>
          <w:sz w:val="32"/>
          <w:szCs w:val="32"/>
          <w:shd w:val="clear" w:color="auto" w:fill="FFFFFF"/>
        </w:rPr>
        <w:t>提升科技创新组织化程度，</w:t>
      </w:r>
      <w:r>
        <w:rPr>
          <w:rFonts w:ascii="Times New Roman" w:hAnsi="Times New Roman" w:eastAsia="方正仿宋_GBK"/>
          <w:color w:val="000000"/>
          <w:sz w:val="32"/>
          <w:szCs w:val="32"/>
          <w:shd w:val="clear" w:color="auto" w:fill="FFFFFF"/>
        </w:rPr>
        <w:t xml:space="preserve">努力实现高水平科技自立自强。 </w:t>
      </w:r>
    </w:p>
    <w:p>
      <w:pPr>
        <w:spacing w:line="590" w:lineRule="exact"/>
        <w:ind w:firstLine="640" w:firstLineChars="200"/>
        <w:rPr>
          <w:rFonts w:ascii="Times New Roman" w:hAnsi="Times New Roman" w:eastAsia="方正仿宋_GBK" w:cs="Times New Roman"/>
          <w:color w:val="191919"/>
          <w:kern w:val="0"/>
          <w:sz w:val="32"/>
          <w:szCs w:val="32"/>
        </w:rPr>
      </w:pPr>
      <w:r>
        <w:rPr>
          <w:rFonts w:hint="eastAsia" w:ascii="Times New Roman" w:hAnsi="Times New Roman" w:eastAsia="方正楷体_GBK"/>
          <w:bCs/>
          <w:color w:val="000000"/>
          <w:sz w:val="32"/>
          <w:szCs w:val="32"/>
          <w:shd w:val="clear" w:color="auto" w:fill="FFFFFF"/>
        </w:rPr>
        <w:t>（二）遵循市场机制。</w:t>
      </w:r>
      <w:r>
        <w:rPr>
          <w:rFonts w:hint="eastAsia" w:ascii="Times New Roman" w:hAnsi="Times New Roman" w:eastAsia="方正仿宋_GBK" w:cs="Times New Roman"/>
          <w:color w:val="191919"/>
          <w:kern w:val="0"/>
          <w:sz w:val="32"/>
          <w:szCs w:val="32"/>
        </w:rPr>
        <w:t>立足企业创新发展的内在要求和合作各方的共同利益，通过平等协商，签订有法律效力的创新联合体组建协议，建立研究方向决策、项目资金投入、协同合作攻关、知识产权管理、成果推广应用、经济收益分配等运行机制。鼓励创新联合体开展体制机制创新，健全经费管理办法，充分激发各方协同创新活力，形成定位清晰、优势互补、分工明确的协同创新机制。</w:t>
      </w:r>
    </w:p>
    <w:p>
      <w:pPr>
        <w:spacing w:line="590" w:lineRule="exact"/>
        <w:ind w:firstLine="640" w:firstLineChars="200"/>
        <w:rPr>
          <w:rFonts w:hint="default" w:ascii="方正仿宋_GBK" w:hAnsi="黑体" w:eastAsia="方正仿宋_GBK"/>
          <w:sz w:val="32"/>
          <w:szCs w:val="32"/>
          <w:lang w:val="en-US" w:eastAsia="zh-CN"/>
        </w:rPr>
      </w:pPr>
      <w:r>
        <w:rPr>
          <w:rFonts w:hint="eastAsia" w:ascii="方正楷体_GBK" w:hAnsi="Times New Roman" w:eastAsia="方正楷体_GBK"/>
          <w:color w:val="000000"/>
          <w:sz w:val="32"/>
          <w:szCs w:val="32"/>
          <w:shd w:val="clear" w:color="auto" w:fill="FFFFFF"/>
        </w:rPr>
        <w:t>（三）</w:t>
      </w:r>
      <w:r>
        <w:rPr>
          <w:rFonts w:hint="eastAsia" w:ascii="方正楷体_GBK" w:hAnsi="Times New Roman" w:eastAsia="方正楷体_GBK" w:cs="Times New Roman"/>
          <w:color w:val="191919"/>
          <w:kern w:val="0"/>
          <w:sz w:val="32"/>
          <w:szCs w:val="32"/>
        </w:rPr>
        <w:t>健全运行模式。</w:t>
      </w:r>
      <w:r>
        <w:rPr>
          <w:rFonts w:hint="eastAsia" w:ascii="Times New Roman" w:hAnsi="Times New Roman" w:eastAsia="方正仿宋_GBK" w:cs="Times New Roman"/>
          <w:sz w:val="32"/>
          <w:szCs w:val="32"/>
        </w:rPr>
        <w:t>创新联合体应建立议事协调机制，</w:t>
      </w:r>
      <w:r>
        <w:rPr>
          <w:rFonts w:hint="eastAsia" w:ascii="方正仿宋_GBK" w:hAnsi="黑体" w:eastAsia="方正仿宋_GBK"/>
          <w:sz w:val="32"/>
          <w:szCs w:val="32"/>
        </w:rPr>
        <w:t>协调重大事项的商议与决策。鼓励创新联合体建立由牵头单位负责人担任理事长的理事会，定期召开会议，研究确定协同攻关方向，高效协调创新资源配置，合理分配成果转化收益。支持创新联合体选聘首席专家，设立专家咨询委员会，为攻关项目技术路线选择、任务分解、攻关方案设计等相关技术决策提供咨询，推动创新联合体建设尽快成势见效。</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四、组建条件</w:t>
      </w:r>
    </w:p>
    <w:p>
      <w:pPr>
        <w:spacing w:line="590" w:lineRule="exact"/>
        <w:ind w:firstLine="640" w:firstLineChars="200"/>
        <w:rPr>
          <w:rFonts w:ascii="方正楷体_GBK" w:hAnsi="黑体" w:eastAsia="方正楷体_GBK"/>
          <w:sz w:val="32"/>
          <w:szCs w:val="32"/>
        </w:rPr>
      </w:pPr>
      <w:r>
        <w:rPr>
          <w:rFonts w:hint="eastAsia" w:ascii="方正楷体_GBK" w:hAnsi="黑体" w:eastAsia="方正楷体_GBK"/>
          <w:sz w:val="32"/>
          <w:szCs w:val="32"/>
        </w:rPr>
        <w:t>（一）</w:t>
      </w:r>
      <w:r>
        <w:rPr>
          <w:rFonts w:hint="eastAsia" w:ascii="方正楷体_GBK" w:hAnsi="Times New Roman" w:eastAsia="方正楷体_GBK" w:cs="Times New Roman"/>
          <w:sz w:val="32"/>
          <w:szCs w:val="32"/>
        </w:rPr>
        <w:t>牵头单位基本条件</w:t>
      </w:r>
    </w:p>
    <w:p>
      <w:pPr>
        <w:spacing w:line="590" w:lineRule="exact"/>
        <w:ind w:firstLine="640" w:firstLineChars="200"/>
        <w:rPr>
          <w:rFonts w:ascii="方正仿宋_GBK" w:eastAsia="方正仿宋_GBK"/>
          <w:sz w:val="32"/>
          <w:szCs w:val="32"/>
        </w:rPr>
      </w:pPr>
      <w:r>
        <w:rPr>
          <w:rFonts w:hint="eastAsia" w:ascii="方正仿宋_GBK" w:eastAsia="方正仿宋_GBK"/>
          <w:sz w:val="32"/>
          <w:szCs w:val="32"/>
        </w:rPr>
        <w:t>创新联合体牵头单位包括科技领军企业或重大科技平台。</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color w:val="191919"/>
          <w:sz w:val="32"/>
          <w:szCs w:val="32"/>
        </w:rPr>
        <w:t>1.牵头单位应为注册在江苏的科技领军企业或</w:t>
      </w:r>
      <w:r>
        <w:rPr>
          <w:rFonts w:hint="eastAsia" w:ascii="方正仿宋_GBK" w:eastAsia="方正仿宋_GBK"/>
          <w:sz w:val="32"/>
          <w:szCs w:val="32"/>
        </w:rPr>
        <w:t>拥有独立法人资格的</w:t>
      </w:r>
      <w:r>
        <w:rPr>
          <w:rFonts w:hint="eastAsia" w:ascii="Times New Roman" w:hAnsi="Times New Roman" w:eastAsia="方正仿宋_GBK" w:cs="Times New Roman"/>
          <w:color w:val="191919"/>
          <w:sz w:val="32"/>
          <w:szCs w:val="32"/>
        </w:rPr>
        <w:t>重大</w:t>
      </w:r>
      <w:r>
        <w:rPr>
          <w:rFonts w:ascii="Times New Roman" w:hAnsi="Times New Roman" w:eastAsia="方正仿宋_GBK" w:cs="Times New Roman"/>
          <w:color w:val="191919"/>
          <w:sz w:val="32"/>
          <w:szCs w:val="32"/>
        </w:rPr>
        <w:t>科技平台，</w:t>
      </w:r>
      <w:r>
        <w:rPr>
          <w:rFonts w:hint="eastAsia" w:ascii="Times New Roman" w:hAnsi="Times New Roman" w:eastAsia="方正仿宋_GBK" w:cs="Times New Roman"/>
          <w:bCs/>
          <w:color w:val="000000" w:themeColor="text1"/>
          <w:sz w:val="32"/>
          <w:szCs w:val="32"/>
          <w14:textFill>
            <w14:solidFill>
              <w14:schemeClr w14:val="tx1"/>
            </w14:solidFill>
          </w14:textFill>
        </w:rPr>
        <w:t>在综合实力、科研水平、创新能力等方面均领跑行业，</w:t>
      </w:r>
      <w:r>
        <w:rPr>
          <w:rFonts w:ascii="Times New Roman" w:hAnsi="Times New Roman" w:eastAsia="方正仿宋_GBK" w:cs="Times New Roman"/>
          <w:color w:val="191919"/>
          <w:sz w:val="32"/>
          <w:szCs w:val="32"/>
        </w:rPr>
        <w:t>具备较强的行业影响力</w:t>
      </w:r>
      <w:r>
        <w:rPr>
          <w:rFonts w:hint="eastAsia" w:ascii="Times New Roman" w:hAnsi="Times New Roman" w:eastAsia="方正仿宋_GBK" w:cs="Times New Roman"/>
          <w:color w:val="191919"/>
          <w:sz w:val="32"/>
          <w:szCs w:val="32"/>
        </w:rPr>
        <w:t>和创新引领力</w:t>
      </w:r>
      <w:r>
        <w:rPr>
          <w:rFonts w:ascii="Times New Roman" w:hAnsi="Times New Roman" w:eastAsia="方正仿宋_GBK" w:cs="Times New Roman"/>
          <w:color w:val="191919"/>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w:t>
      </w:r>
      <w:r>
        <w:rPr>
          <w:rFonts w:hint="eastAsia" w:ascii="方正仿宋_GBK" w:eastAsia="方正仿宋_GBK"/>
          <w:sz w:val="32"/>
          <w:szCs w:val="32"/>
        </w:rPr>
        <w:t>科技领军企业作为牵头单位的，原则上应为国家或省科技领军企业、行业龙头企业、独角兽企业，</w:t>
      </w:r>
      <w:r>
        <w:rPr>
          <w:rFonts w:hint="eastAsia" w:ascii="Times New Roman" w:hAnsi="Times New Roman" w:eastAsia="方正仿宋_GBK" w:cs="Times New Roman"/>
          <w:sz w:val="32"/>
          <w:szCs w:val="32"/>
        </w:rPr>
        <w:t>能够</w:t>
      </w:r>
      <w:r>
        <w:rPr>
          <w:rFonts w:hint="eastAsia" w:ascii="方正仿宋_GBK" w:eastAsia="方正仿宋_GBK"/>
          <w:sz w:val="32"/>
          <w:szCs w:val="32"/>
        </w:rPr>
        <w:t>依托科研、产业、应用、生态优势和资源整合能力，围绕创新链、产业链发展需求提出技术攻关方向，整合高校院所、产业链上下游企业等创新资源共同组建创新联合体，形成行业标杆，构建创新生态体系，实现引领带动。行业龙头企业</w:t>
      </w:r>
      <w:r>
        <w:rPr>
          <w:rFonts w:hint="eastAsia" w:ascii="Times New Roman" w:hAnsi="Times New Roman" w:eastAsia="方正仿宋_GBK" w:cs="Times New Roman"/>
          <w:color w:val="191919"/>
          <w:sz w:val="32"/>
          <w:szCs w:val="32"/>
        </w:rPr>
        <w:t>原则上年销售收入应在10亿元以上，研发投入强度不低于3%；独角兽企业研发投入强度应不低于3%。</w:t>
      </w:r>
    </w:p>
    <w:p>
      <w:pPr>
        <w:spacing w:line="590" w:lineRule="exact"/>
        <w:ind w:firstLine="640" w:firstLineChars="200"/>
        <w:rPr>
          <w:rFonts w:ascii="方正仿宋_GBK" w:eastAsia="方正仿宋_GBK"/>
          <w:sz w:val="32"/>
          <w:szCs w:val="32"/>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.重大科技平台作为牵头单位的，</w:t>
      </w:r>
      <w:r>
        <w:rPr>
          <w:rFonts w:hint="eastAsia" w:ascii="Times New Roman" w:hAnsi="Times New Roman" w:eastAsia="方正仿宋_GBK" w:cs="Times New Roman"/>
          <w:color w:val="191919"/>
          <w:sz w:val="32"/>
          <w:szCs w:val="32"/>
        </w:rPr>
        <w:t>原则上应为国家或省实验室、国家或省技术创新中心，</w:t>
      </w:r>
      <w:r>
        <w:rPr>
          <w:rFonts w:hint="eastAsia" w:ascii="方正仿宋_GBK" w:eastAsia="方正仿宋_GBK"/>
          <w:sz w:val="32"/>
          <w:szCs w:val="32"/>
        </w:rPr>
        <w:t>能够基于行业共性关键技术、基础前沿技术攻关需求，开放共享创新资源，聚合产学研优势力量，集聚高校院所、企业等多方主体，通过资源导入、任务延伸、目标升级共同组建创新联合体。</w:t>
      </w:r>
    </w:p>
    <w:p>
      <w:pPr>
        <w:spacing w:line="59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sz w:val="32"/>
          <w:szCs w:val="32"/>
        </w:rPr>
        <w:t>（二）参与单位基本条件</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创新联合体参与单位</w:t>
      </w:r>
      <w:r>
        <w:rPr>
          <w:rFonts w:hint="eastAsia" w:ascii="Times New Roman" w:hAnsi="Times New Roman" w:eastAsia="方正仿宋_GBK" w:cs="Times New Roman"/>
          <w:sz w:val="32"/>
          <w:szCs w:val="32"/>
        </w:rPr>
        <w:t>包括</w:t>
      </w:r>
      <w:r>
        <w:rPr>
          <w:rFonts w:ascii="Times New Roman" w:hAnsi="Times New Roman" w:eastAsia="方正仿宋_GBK" w:cs="Times New Roman"/>
          <w:sz w:val="32"/>
          <w:szCs w:val="32"/>
        </w:rPr>
        <w:t>产业链内行业上下游企业、</w:t>
      </w:r>
      <w:r>
        <w:rPr>
          <w:rFonts w:hint="eastAsia" w:ascii="Times New Roman" w:hAnsi="Times New Roman" w:eastAsia="方正仿宋_GBK" w:cs="Times New Roman"/>
          <w:sz w:val="32"/>
          <w:szCs w:val="32"/>
        </w:rPr>
        <w:t>高校</w:t>
      </w:r>
      <w:r>
        <w:rPr>
          <w:rFonts w:ascii="Times New Roman" w:hAnsi="Times New Roman" w:eastAsia="方正仿宋_GBK" w:cs="Times New Roman"/>
          <w:sz w:val="32"/>
          <w:szCs w:val="32"/>
        </w:rPr>
        <w:t>、科研院所或</w:t>
      </w:r>
      <w:r>
        <w:rPr>
          <w:rFonts w:hint="eastAsia" w:ascii="Times New Roman" w:hAnsi="Times New Roman" w:eastAsia="方正仿宋_GBK" w:cs="Times New Roman"/>
          <w:sz w:val="32"/>
          <w:szCs w:val="32"/>
        </w:rPr>
        <w:t>其他组织</w:t>
      </w:r>
      <w:r>
        <w:rPr>
          <w:rFonts w:ascii="Times New Roman" w:hAnsi="Times New Roman" w:eastAsia="方正仿宋_GBK" w:cs="Times New Roman"/>
          <w:sz w:val="32"/>
          <w:szCs w:val="32"/>
        </w:rPr>
        <w:t>机构等独立法人单位，原则上</w:t>
      </w:r>
      <w:r>
        <w:rPr>
          <w:rFonts w:hint="eastAsia" w:ascii="Times New Roman" w:hAnsi="Times New Roman" w:eastAsia="方正仿宋_GBK" w:cs="Times New Roman"/>
          <w:sz w:val="32"/>
          <w:szCs w:val="32"/>
        </w:rPr>
        <w:t>应</w:t>
      </w:r>
      <w:r>
        <w:rPr>
          <w:rFonts w:ascii="Times New Roman" w:hAnsi="Times New Roman" w:eastAsia="方正仿宋_GBK" w:cs="Times New Roman"/>
          <w:sz w:val="32"/>
          <w:szCs w:val="32"/>
        </w:rPr>
        <w:t>包含高校或科研院所。</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1. </w:t>
      </w:r>
      <w:r>
        <w:rPr>
          <w:rFonts w:ascii="Times New Roman" w:hAnsi="Times New Roman" w:eastAsia="方正仿宋_GBK" w:cs="Times New Roman"/>
          <w:sz w:val="32"/>
          <w:szCs w:val="32"/>
        </w:rPr>
        <w:t>企业作为创新联合体成员的，</w:t>
      </w:r>
      <w:r>
        <w:rPr>
          <w:rFonts w:hint="eastAsia" w:ascii="Times New Roman" w:hAnsi="Times New Roman" w:eastAsia="方正仿宋_GBK" w:cs="Times New Roman"/>
          <w:sz w:val="32"/>
          <w:szCs w:val="32"/>
        </w:rPr>
        <w:t>应</w:t>
      </w:r>
      <w:r>
        <w:rPr>
          <w:rFonts w:ascii="Times New Roman" w:hAnsi="Times New Roman" w:eastAsia="方正仿宋_GBK" w:cs="Times New Roman"/>
          <w:sz w:val="32"/>
          <w:szCs w:val="32"/>
        </w:rPr>
        <w:t>具备</w:t>
      </w:r>
      <w:r>
        <w:rPr>
          <w:rFonts w:hint="eastAsia" w:ascii="Times New Roman" w:hAnsi="Times New Roman" w:eastAsia="方正仿宋_GBK" w:cs="Times New Roman"/>
          <w:sz w:val="32"/>
          <w:szCs w:val="32"/>
        </w:rPr>
        <w:t>较强</w:t>
      </w:r>
      <w:r>
        <w:rPr>
          <w:rFonts w:ascii="Times New Roman" w:hAnsi="Times New Roman" w:eastAsia="方正仿宋_GBK" w:cs="Times New Roman"/>
          <w:sz w:val="32"/>
          <w:szCs w:val="32"/>
        </w:rPr>
        <w:t>的研发和技术配套能力，能够与其他成员单位形成</w:t>
      </w:r>
      <w:r>
        <w:rPr>
          <w:rFonts w:hint="eastAsia" w:ascii="Times New Roman" w:hAnsi="Times New Roman" w:eastAsia="方正仿宋_GBK" w:cs="Times New Roman"/>
          <w:sz w:val="32"/>
          <w:szCs w:val="32"/>
        </w:rPr>
        <w:t>创新优势</w:t>
      </w:r>
      <w:r>
        <w:rPr>
          <w:rFonts w:ascii="Times New Roman" w:hAnsi="Times New Roman" w:eastAsia="方正仿宋_GBK" w:cs="Times New Roman"/>
          <w:sz w:val="32"/>
          <w:szCs w:val="32"/>
        </w:rPr>
        <w:t>互补</w:t>
      </w:r>
      <w:r>
        <w:rPr>
          <w:rFonts w:hint="eastAsia" w:ascii="Times New Roman" w:hAnsi="Times New Roman" w:eastAsia="方正仿宋_GBK" w:cs="Times New Roman"/>
          <w:sz w:val="32"/>
          <w:szCs w:val="32"/>
        </w:rPr>
        <w:t>，并围绕攻关方向和目标开展实质性研究工作。</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2. </w:t>
      </w:r>
      <w:r>
        <w:rPr>
          <w:rFonts w:ascii="Times New Roman" w:hAnsi="Times New Roman" w:eastAsia="方正仿宋_GBK" w:cs="Times New Roman"/>
          <w:sz w:val="32"/>
          <w:szCs w:val="32"/>
        </w:rPr>
        <w:t>高校、院所作为创新联合体成员的，应拥有在本领域</w:t>
      </w:r>
      <w:r>
        <w:rPr>
          <w:rFonts w:hint="eastAsia" w:ascii="Times New Roman" w:hAnsi="Times New Roman" w:eastAsia="方正仿宋_GBK" w:cs="Times New Roman"/>
          <w:sz w:val="32"/>
          <w:szCs w:val="32"/>
        </w:rPr>
        <w:t>原始</w:t>
      </w:r>
      <w:r>
        <w:rPr>
          <w:rFonts w:ascii="Times New Roman" w:hAnsi="Times New Roman" w:eastAsia="方正仿宋_GBK" w:cs="Times New Roman"/>
          <w:sz w:val="32"/>
          <w:szCs w:val="32"/>
        </w:rPr>
        <w:t>创新能力较强的研究团队，具备相对稳定的人员梯队和良好的科研实验条件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 鼓励概念验证、成果转移转化、检验检测、科技金融等机构作为成员单位参与创新联合体建设。概念验证机构作为成员单位的，应为江苏省概念验证中心</w:t>
      </w:r>
      <w:r>
        <w:rPr>
          <w:rFonts w:hint="eastAsia" w:ascii="Times New Roman" w:hAnsi="Times New Roman" w:eastAsia="方正仿宋_GBK" w:cs="Times New Roman"/>
          <w:sz w:val="32"/>
          <w:szCs w:val="32"/>
          <w:lang w:val="en-US" w:eastAsia="zh-CN"/>
        </w:rPr>
        <w:t>建设单位</w:t>
      </w:r>
      <w:r>
        <w:rPr>
          <w:rFonts w:hint="eastAsia" w:ascii="Times New Roman" w:hAnsi="Times New Roman" w:eastAsia="方正仿宋_GBK" w:cs="Times New Roman"/>
          <w:sz w:val="32"/>
          <w:szCs w:val="32"/>
        </w:rPr>
        <w:t>，为创新联合体开展原理验证、产品与场景体系验证、原型制备与技术可行性验证、商业前景验证等服务；检验检测机构作为成员单位的，应具有相关资质，并拥有与其从事检验检测活动相适应的技术人员</w:t>
      </w:r>
      <w:r>
        <w:rPr>
          <w:rFonts w:hint="eastAsia" w:ascii="Microsoft Yi Baiti" w:hAnsi="Microsoft Yi Baiti" w:eastAsia="方正仿宋_GBK" w:cs="Microsoft Yi Baiti"/>
          <w:sz w:val="32"/>
          <w:szCs w:val="32"/>
        </w:rPr>
        <w:t>、</w:t>
      </w:r>
      <w:r>
        <w:rPr>
          <w:rFonts w:hint="eastAsia" w:ascii="Times New Roman" w:hAnsi="Times New Roman" w:eastAsia="方正仿宋_GBK" w:cs="Times New Roman"/>
          <w:sz w:val="32"/>
          <w:szCs w:val="32"/>
        </w:rPr>
        <w:t>工作场所</w:t>
      </w:r>
      <w:r>
        <w:rPr>
          <w:rFonts w:hint="eastAsia" w:ascii="Microsoft Yi Baiti" w:hAnsi="Microsoft Yi Baiti" w:eastAsia="方正仿宋_GBK" w:cs="Microsoft Yi Baiti"/>
          <w:sz w:val="32"/>
          <w:szCs w:val="32"/>
        </w:rPr>
        <w:t>和</w:t>
      </w:r>
      <w:r>
        <w:rPr>
          <w:rFonts w:hint="eastAsia" w:ascii="Times New Roman" w:hAnsi="Times New Roman" w:eastAsia="方正仿宋_GBK" w:cs="Times New Roman"/>
          <w:sz w:val="32"/>
          <w:szCs w:val="32"/>
        </w:rPr>
        <w:t>设备设施；成果转移转化机构作为成员单位的，应具有专业技术经理人队伍，能够为创新联合体协同攻关成果精确匹配各类市场资源；科技金融机构作为成员单位的，应具有为初创期科技型中小企业提供创业辅导、技术服务和融资服务的丰富经验。</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五、组建程序</w:t>
      </w:r>
    </w:p>
    <w:p>
      <w:pPr>
        <w:spacing w:line="59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（一）遴选牵头单位。</w:t>
      </w:r>
      <w:r>
        <w:rPr>
          <w:rFonts w:hint="eastAsia" w:ascii="方正仿宋_GBK" w:eastAsia="方正仿宋_GBK"/>
          <w:sz w:val="32"/>
          <w:szCs w:val="32"/>
        </w:rPr>
        <w:t>各设区市科技局围绕本地区创新链产业链“卡脖子”环节以及具有先发优势的关键技术、引领未来发展的基础前沿技术创新需求，遴选符合条件的牵头单位，深入考察其研发能力、行业地位、产学研合作基础等。</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color w:val="191919"/>
          <w:sz w:val="32"/>
          <w:szCs w:val="32"/>
        </w:rPr>
      </w:pPr>
      <w:r>
        <w:rPr>
          <w:rFonts w:hint="eastAsia" w:ascii="方正楷体_GBK" w:hAnsi="Times New Roman" w:eastAsia="方正楷体_GBK" w:cs="Times New Roman"/>
          <w:sz w:val="32"/>
          <w:szCs w:val="32"/>
        </w:rPr>
        <w:t>（二）筛选参与单位。</w:t>
      </w:r>
      <w:r>
        <w:rPr>
          <w:rFonts w:hint="eastAsia" w:ascii="方正仿宋_GBK" w:eastAsia="方正仿宋_GBK" w:hAnsiTheme="minorHAnsi" w:cstheme="minorBidi"/>
          <w:sz w:val="32"/>
          <w:szCs w:val="32"/>
        </w:rPr>
        <w:t>牵头单位在自愿的基础上，认真分析自身资源优势和短板，在产业链</w:t>
      </w:r>
      <w:r>
        <w:rPr>
          <w:rFonts w:hint="eastAsia" w:ascii="方正仿宋_GBK" w:eastAsia="方正仿宋_GBK"/>
          <w:sz w:val="32"/>
          <w:szCs w:val="32"/>
        </w:rPr>
        <w:t>上下游企业、高校、科研院所和相关专业机构中选择一批互补性强、合作基础良好的参与单位，共同协商</w:t>
      </w:r>
      <w:r>
        <w:rPr>
          <w:rFonts w:ascii="Times New Roman" w:hAnsi="Times New Roman" w:eastAsia="方正仿宋_GBK" w:cs="Times New Roman"/>
          <w:color w:val="191919"/>
          <w:sz w:val="32"/>
          <w:szCs w:val="32"/>
        </w:rPr>
        <w:t>组建创新联合体。</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color w:val="191919"/>
          <w:sz w:val="32"/>
          <w:szCs w:val="32"/>
        </w:rPr>
      </w:pPr>
      <w:r>
        <w:rPr>
          <w:rFonts w:hint="eastAsia" w:ascii="方正楷体_GBK" w:eastAsia="方正楷体_GBK"/>
          <w:sz w:val="32"/>
          <w:szCs w:val="32"/>
        </w:rPr>
        <w:t>（三）签订共建协议</w:t>
      </w:r>
      <w:r>
        <w:rPr>
          <w:rFonts w:hint="eastAsia" w:ascii="方正仿宋_GBK" w:eastAsia="方正仿宋_GBK"/>
          <w:sz w:val="32"/>
          <w:szCs w:val="32"/>
        </w:rPr>
        <w:t>。牵头单位编制创新联合体建设方案，</w:t>
      </w:r>
      <w:r>
        <w:rPr>
          <w:rFonts w:hint="eastAsia" w:ascii="Times New Roman" w:hAnsi="Times New Roman" w:eastAsia="方正仿宋_GBK" w:cs="Times New Roman"/>
          <w:sz w:val="32"/>
          <w:szCs w:val="32"/>
        </w:rPr>
        <w:t>凝练重大联合攻关任务，</w:t>
      </w:r>
      <w:r>
        <w:rPr>
          <w:rFonts w:hint="eastAsia" w:ascii="方正仿宋_GBK" w:eastAsia="方正仿宋_GBK"/>
          <w:sz w:val="32"/>
          <w:szCs w:val="32"/>
        </w:rPr>
        <w:t>设定中长期</w:t>
      </w:r>
      <w:r>
        <w:rPr>
          <w:rFonts w:hint="eastAsia" w:ascii="Times New Roman" w:hAnsi="Times New Roman" w:eastAsia="方正仿宋_GBK" w:cs="Times New Roman"/>
          <w:sz w:val="32"/>
          <w:szCs w:val="32"/>
        </w:rPr>
        <w:t>战略目标</w:t>
      </w:r>
      <w:r>
        <w:rPr>
          <w:rFonts w:hint="eastAsia" w:ascii="方正仿宋_GBK" w:eastAsia="方正仿宋_GBK"/>
          <w:sz w:val="32"/>
          <w:szCs w:val="32"/>
        </w:rPr>
        <w:t>，并与参与单位签署创新联合体共建协议，</w:t>
      </w:r>
      <w:r>
        <w:rPr>
          <w:rFonts w:hint="eastAsia" w:ascii="Times New Roman" w:hAnsi="Times New Roman" w:eastAsia="方正仿宋_GBK" w:cs="Times New Roman"/>
          <w:sz w:val="32"/>
          <w:szCs w:val="32"/>
        </w:rPr>
        <w:t>明确</w:t>
      </w:r>
      <w:r>
        <w:rPr>
          <w:rFonts w:hint="eastAsia" w:ascii="方正仿宋_GBK" w:eastAsia="方正仿宋_GBK"/>
          <w:sz w:val="32"/>
          <w:szCs w:val="32"/>
        </w:rPr>
        <w:t>责任落实、协同攻关、决策运行、资金筹措、知识产权、利益分配等合作机制，保障各成员单位合法权益。</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（四）</w:t>
      </w:r>
      <w:r>
        <w:rPr>
          <w:rFonts w:hint="eastAsia" w:ascii="方正楷体_GBK" w:eastAsia="方正楷体_GBK"/>
          <w:sz w:val="32"/>
          <w:szCs w:val="32"/>
        </w:rPr>
        <w:t>确定支持对象</w:t>
      </w:r>
      <w:r>
        <w:rPr>
          <w:rFonts w:hint="eastAsia" w:ascii="方正仿宋_GBK" w:eastAsia="方正仿宋_GBK"/>
          <w:sz w:val="32"/>
          <w:szCs w:val="32"/>
        </w:rPr>
        <w:t>。牵头单位向设区市科技局报送申报材料。各设区市科技局对申报材料进行核实，就创新联合体组建的必要性、可行性方面提出审核推荐意见后报送省科技厅。省科技厅组织专家对创新联合体建设方案进行评估论证，符合战略需求、满足组建条件、具备良好基础的，择优予以支持。</w:t>
      </w:r>
    </w:p>
    <w:p>
      <w:pPr>
        <w:spacing w:line="590" w:lineRule="exact"/>
        <w:ind w:firstLine="640" w:firstLineChars="200"/>
        <w:rPr>
          <w:rFonts w:ascii="黑体" w:hAnsi="黑体" w:eastAsia="黑体"/>
          <w:sz w:val="32"/>
          <w:szCs w:val="32"/>
        </w:rPr>
      </w:pPr>
      <w:r>
        <w:rPr>
          <w:rFonts w:hint="eastAsia" w:ascii="黑体" w:hAnsi="黑体" w:eastAsia="黑体"/>
          <w:sz w:val="32"/>
          <w:szCs w:val="32"/>
        </w:rPr>
        <w:t>六、支持措施</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（一）支持创新联合体开展重大技术攻关。</w:t>
      </w:r>
      <w:r>
        <w:rPr>
          <w:rFonts w:hint="eastAsia" w:ascii="方正仿宋_GBK" w:eastAsia="方正仿宋_GBK"/>
          <w:sz w:val="32"/>
          <w:szCs w:val="32"/>
        </w:rPr>
        <w:t>发挥企业“出题人”作用，支持创新联合体牵头编制重大攻关任务清单，强化从产业实践中凝练应用研究任务。鼓励创新联合体面向重点领域开展“卡脖子”技术和关键核心技术协同攻关，探索采用省地会商、定向委托等方式给予创新联合体</w:t>
      </w:r>
      <w:r>
        <w:rPr>
          <w:rFonts w:hint="eastAsia" w:ascii="方正仿宋_GBK" w:eastAsia="方正仿宋_GBK"/>
          <w:sz w:val="32"/>
          <w:szCs w:val="32"/>
          <w:lang w:val="en-US" w:eastAsia="zh-CN"/>
        </w:rPr>
        <w:t>省级</w:t>
      </w:r>
      <w:r>
        <w:rPr>
          <w:rFonts w:hint="eastAsia" w:ascii="方正仿宋_GBK" w:eastAsia="方正仿宋_GBK"/>
          <w:sz w:val="32"/>
          <w:szCs w:val="32"/>
        </w:rPr>
        <w:t>科技攻关项目支持。建立将科技领军企业牵头的创新联合体重大战略项目上升为省项目的新机制。优先支持创新联合体牵头单位申报国家重大科技计划项目，组织产业链上下游企业及高校、科研院所等联合攻关。</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（二）支持创新联合体建设重大科技创新平台。</w:t>
      </w:r>
      <w:r>
        <w:rPr>
          <w:rFonts w:hint="eastAsia" w:ascii="方正仿宋_GBK" w:eastAsia="方正仿宋_GBK"/>
          <w:sz w:val="32"/>
          <w:szCs w:val="32"/>
        </w:rPr>
        <w:t>推动研发机构高质量建设，鼓励创新联合体各成员单位建设重点实验室、技术创新中心、制造业创新中心、企业技术中心、产业创新中心、工程研究中心等，着力提升原始创新能力，加强创新联合体行业共性技术问题应用研究。</w:t>
      </w:r>
    </w:p>
    <w:p>
      <w:pPr>
        <w:spacing w:line="590" w:lineRule="exact"/>
        <w:ind w:firstLine="640" w:firstLineChars="200"/>
        <w:rPr>
          <w:rFonts w:hint="eastAsia" w:ascii="方正仿宋_GBK" w:eastAsia="方正仿宋_GBK"/>
          <w:sz w:val="32"/>
          <w:szCs w:val="32"/>
        </w:rPr>
      </w:pPr>
      <w:r>
        <w:rPr>
          <w:rFonts w:hint="eastAsia" w:ascii="方正楷体_GBK" w:hAnsi="Times New Roman" w:eastAsia="方正楷体_GBK" w:cs="Times New Roman"/>
          <w:sz w:val="32"/>
          <w:szCs w:val="32"/>
        </w:rPr>
        <w:t>（三）支持创新联合体培养高层次人才队伍。</w:t>
      </w:r>
      <w:r>
        <w:rPr>
          <w:rFonts w:hint="eastAsia" w:ascii="方正仿宋_GBK" w:eastAsia="方正仿宋_GBK"/>
          <w:sz w:val="32"/>
          <w:szCs w:val="32"/>
        </w:rPr>
        <w:t>在创新联合体核心研发团队中发现和培养具有战略科学家潜质的高层次复合型人才和青年科技人才，</w:t>
      </w:r>
      <w:r>
        <w:rPr>
          <w:rFonts w:hint="eastAsia" w:ascii="方正仿宋_GBK" w:eastAsia="方正仿宋_GBK"/>
          <w:sz w:val="32"/>
          <w:szCs w:val="32"/>
          <w:lang w:val="en-US" w:eastAsia="zh-CN"/>
        </w:rPr>
        <w:t>支持</w:t>
      </w:r>
      <w:r>
        <w:rPr>
          <w:rFonts w:hint="eastAsia" w:ascii="方正仿宋_GBK" w:eastAsia="方正仿宋_GBK"/>
          <w:sz w:val="32"/>
          <w:szCs w:val="32"/>
        </w:rPr>
        <w:t>创新联合体成员单位组建</w:t>
      </w:r>
      <w:r>
        <w:rPr>
          <w:rFonts w:hint="eastAsia" w:ascii="方正仿宋_GBK" w:eastAsia="方正仿宋_GBK"/>
          <w:sz w:val="32"/>
          <w:szCs w:val="32"/>
          <w:lang w:val="en-US" w:eastAsia="zh-CN"/>
        </w:rPr>
        <w:t>申报</w:t>
      </w:r>
      <w:r>
        <w:rPr>
          <w:rFonts w:hint="eastAsia" w:ascii="方正仿宋_GBK" w:eastAsia="方正仿宋_GBK"/>
          <w:sz w:val="32"/>
          <w:szCs w:val="32"/>
        </w:rPr>
        <w:t>人才攻关联合体。开展“科技副总”选聘工作，推动全国高校院所科技人才到创新联合体各成员单位兼任科技副总。支持创新联合体成员单位申报国家、省级人才计划。</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（四）加强创新联合体科技金融服务。</w:t>
      </w:r>
      <w:r>
        <w:rPr>
          <w:rFonts w:hint="eastAsia" w:ascii="方正仿宋_GBK" w:eastAsia="方正仿宋_GBK"/>
          <w:sz w:val="32"/>
          <w:szCs w:val="32"/>
        </w:rPr>
        <w:t>支持金融机构围绕创新联合体利益共享、风险共担的特点，开发创新联合体专项融资产品，支持创新联合体加速攻克关键核心技术。</w:t>
      </w:r>
      <w:r>
        <w:rPr>
          <w:rFonts w:ascii="Times New Roman Regular" w:hAnsi="Times New Roman Regular" w:eastAsia="方正仿宋_GBK" w:cs="Times New Roman Regular"/>
          <w:sz w:val="32"/>
          <w:szCs w:val="32"/>
        </w:rPr>
        <w:t>探索科技计划项目财政投入与金融支持联动机制，助力</w:t>
      </w:r>
      <w:r>
        <w:rPr>
          <w:rFonts w:hint="eastAsia" w:ascii="Times New Roman Regular" w:hAnsi="Times New Roman Regular" w:eastAsia="方正仿宋_GBK" w:cs="Times New Roman Regular"/>
          <w:sz w:val="32"/>
          <w:szCs w:val="32"/>
        </w:rPr>
        <w:t>创新联合体</w:t>
      </w:r>
      <w:r>
        <w:rPr>
          <w:rFonts w:ascii="Times New Roman Regular" w:hAnsi="Times New Roman Regular" w:eastAsia="方正仿宋_GBK" w:cs="Times New Roman Regular"/>
          <w:sz w:val="32"/>
          <w:szCs w:val="32"/>
        </w:rPr>
        <w:t>承担国家和省重大科技攻关任务。</w:t>
      </w:r>
      <w:r>
        <w:rPr>
          <w:rFonts w:hint="eastAsia" w:ascii="Times New Roman Regular" w:hAnsi="Times New Roman Regular" w:eastAsia="方正仿宋_GBK" w:cs="Times New Roman Regular"/>
          <w:sz w:val="32"/>
          <w:szCs w:val="32"/>
        </w:rPr>
        <w:t>发挥省战略性新兴产业发展母基金引导作用，带动地方投资基金和创投机构</w:t>
      </w:r>
      <w:r>
        <w:rPr>
          <w:rFonts w:ascii="Times New Roman Regular" w:hAnsi="Times New Roman Regular" w:eastAsia="方正仿宋_GBK" w:cs="Times New Roman Regular"/>
          <w:sz w:val="32"/>
          <w:szCs w:val="32"/>
        </w:rPr>
        <w:t>对接</w:t>
      </w:r>
      <w:r>
        <w:rPr>
          <w:rFonts w:hint="eastAsia" w:ascii="Times New Roman Regular" w:hAnsi="Times New Roman Regular" w:eastAsia="方正仿宋_GBK" w:cs="Times New Roman Regular"/>
          <w:sz w:val="32"/>
          <w:szCs w:val="32"/>
        </w:rPr>
        <w:t>创新联合体</w:t>
      </w:r>
      <w:r>
        <w:rPr>
          <w:rFonts w:ascii="Times New Roman Regular" w:hAnsi="Times New Roman Regular" w:eastAsia="方正仿宋_GBK" w:cs="Times New Roman Regular"/>
          <w:sz w:val="32"/>
          <w:szCs w:val="32"/>
        </w:rPr>
        <w:t>融资需求。</w:t>
      </w:r>
    </w:p>
    <w:p>
      <w:pPr>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七、监督管理</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（一）建立年报机制。</w:t>
      </w:r>
      <w:r>
        <w:rPr>
          <w:rFonts w:hint="eastAsia" w:ascii="Times New Roman" w:hAnsi="Times New Roman" w:eastAsia="方正仿宋_GBK" w:cs="Times New Roman"/>
          <w:sz w:val="32"/>
          <w:szCs w:val="32"/>
        </w:rPr>
        <w:t>每家创新联合体应于每年5月底前向省科技厅报送上年度运行情况自评报告，</w:t>
      </w:r>
      <w:r>
        <w:rPr>
          <w:rFonts w:hint="eastAsia" w:ascii="方正仿宋_GBK" w:eastAsia="方正仿宋_GBK"/>
          <w:sz w:val="32"/>
          <w:szCs w:val="32"/>
        </w:rPr>
        <w:t>主要包括：</w:t>
      </w:r>
      <w:r>
        <w:rPr>
          <w:rFonts w:hint="eastAsia" w:ascii="Times New Roman" w:hAnsi="Times New Roman" w:eastAsia="方正仿宋_GBK" w:cs="Times New Roman"/>
          <w:sz w:val="32"/>
          <w:szCs w:val="32"/>
        </w:rPr>
        <w:t>战略目标实施和重大项目任务执行情况</w:t>
      </w:r>
      <w:r>
        <w:rPr>
          <w:rFonts w:hint="eastAsia" w:ascii="方正仿宋_GBK" w:eastAsia="方正仿宋_GBK"/>
          <w:sz w:val="32"/>
          <w:szCs w:val="32"/>
        </w:rPr>
        <w:t>、高水平研发平台建设情况、人员团队建设情况、科技成果转化情况、标志性产品应用推广情况及下年度工作计划等。</w:t>
      </w:r>
    </w:p>
    <w:p>
      <w:pPr>
        <w:spacing w:line="590" w:lineRule="exact"/>
        <w:ind w:firstLine="640" w:firstLineChars="200"/>
        <w:rPr>
          <w:rFonts w:ascii="方正仿宋_GBK" w:eastAsia="方正仿宋_GBK"/>
          <w:sz w:val="32"/>
          <w:szCs w:val="32"/>
        </w:rPr>
      </w:pPr>
      <w:r>
        <w:rPr>
          <w:rFonts w:hint="eastAsia" w:ascii="方正楷体_GBK" w:eastAsia="方正楷体_GBK"/>
          <w:sz w:val="32"/>
          <w:szCs w:val="32"/>
        </w:rPr>
        <w:t>（二）开展绩效评价</w:t>
      </w:r>
      <w:r>
        <w:rPr>
          <w:rFonts w:hint="eastAsia" w:ascii="方正仿宋_GBK" w:eastAsia="方正仿宋_GBK"/>
          <w:sz w:val="32"/>
          <w:szCs w:val="32"/>
        </w:rPr>
        <w:t>。在创新联合体自评基础上，省科技厅委托第三方机构研究制定评价指标体系，适时对创新联合体工作开展评价。对于评价结果优秀的创新联合体，适当加大支持力度。对评价结果较差的创新联合体，由省科技厅督促整改或予以摘牌。</w:t>
      </w:r>
    </w:p>
    <w:p>
      <w:pPr>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（三）</w:t>
      </w:r>
      <w:r>
        <w:rPr>
          <w:rFonts w:hint="eastAsia" w:ascii="方正楷体_GBK" w:eastAsia="方正楷体_GBK"/>
          <w:sz w:val="32"/>
          <w:szCs w:val="32"/>
        </w:rPr>
        <w:t>加强信用管理。</w:t>
      </w:r>
      <w:r>
        <w:rPr>
          <w:rFonts w:hint="eastAsia" w:ascii="方正仿宋_GBK" w:eastAsia="方正仿宋_GBK"/>
          <w:sz w:val="32"/>
          <w:szCs w:val="32"/>
        </w:rPr>
        <w:t>创新联合体在组织申报、项目实施、年度报告等过程中应确保诚实守信，</w:t>
      </w:r>
      <w:r>
        <w:rPr>
          <w:rFonts w:hint="eastAsia" w:ascii="Times New Roman" w:hAnsi="Times New Roman" w:eastAsia="方正仿宋_GBK" w:cs="Times New Roman"/>
          <w:color w:val="191919"/>
          <w:sz w:val="32"/>
          <w:szCs w:val="32"/>
        </w:rPr>
        <w:t>如</w:t>
      </w:r>
      <w:r>
        <w:rPr>
          <w:rFonts w:ascii="Times New Roman" w:hAnsi="Times New Roman" w:eastAsia="方正仿宋_GBK" w:cs="Times New Roman"/>
          <w:color w:val="191919"/>
          <w:sz w:val="32"/>
          <w:szCs w:val="32"/>
        </w:rPr>
        <w:t>存在严重弄虚作假等失信行为，按照相关规定，</w:t>
      </w:r>
      <w:r>
        <w:rPr>
          <w:rFonts w:hint="eastAsia" w:ascii="Times New Roman" w:hAnsi="Times New Roman" w:eastAsia="方正仿宋_GBK" w:cs="Times New Roman"/>
          <w:color w:val="191919"/>
          <w:sz w:val="32"/>
          <w:szCs w:val="32"/>
        </w:rPr>
        <w:t>予以</w:t>
      </w:r>
      <w:r>
        <w:rPr>
          <w:rFonts w:ascii="Times New Roman" w:hAnsi="Times New Roman" w:eastAsia="方正仿宋_GBK" w:cs="Times New Roman"/>
          <w:color w:val="191919"/>
          <w:sz w:val="32"/>
          <w:szCs w:val="32"/>
        </w:rPr>
        <w:t>摘牌，并</w:t>
      </w:r>
      <w:r>
        <w:rPr>
          <w:rFonts w:hint="eastAsia" w:ascii="Times New Roman" w:hAnsi="Times New Roman" w:eastAsia="方正仿宋_GBK" w:cs="Times New Roman"/>
          <w:color w:val="191919"/>
          <w:sz w:val="32"/>
          <w:szCs w:val="32"/>
        </w:rPr>
        <w:t>记入</w:t>
      </w:r>
      <w:r>
        <w:rPr>
          <w:rFonts w:hint="eastAsia" w:ascii="Times New Roman" w:hAnsi="Times New Roman" w:eastAsia="方正仿宋_GBK" w:cs="Times New Roman"/>
          <w:color w:val="191919"/>
          <w:sz w:val="32"/>
          <w:szCs w:val="32"/>
          <w:lang w:val="en-US" w:eastAsia="zh-CN"/>
        </w:rPr>
        <w:t>失信信息记录</w:t>
      </w:r>
      <w:r>
        <w:rPr>
          <w:rFonts w:ascii="Times New Roman" w:hAnsi="Times New Roman" w:eastAsia="方正仿宋_GBK" w:cs="Times New Roman"/>
          <w:color w:val="191919"/>
          <w:sz w:val="32"/>
          <w:szCs w:val="32"/>
        </w:rPr>
        <w:t>。</w:t>
      </w:r>
      <w:r>
        <w:rPr>
          <w:rFonts w:hint="eastAsia" w:ascii="方正仿宋_GBK" w:eastAsia="方正仿宋_GBK"/>
          <w:sz w:val="32"/>
          <w:szCs w:val="32"/>
        </w:rPr>
        <w:t>创新联合体在运行期间，牵头单位不可发生变动，参与单位、战略规划、组织架构、运行机制等应保持相对稳定。确有需要变动的，可签署补充协议，并在年度报告中说明。</w:t>
      </w:r>
    </w:p>
    <w:sectPr>
      <w:footerReference r:id="rId3"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503050405090304"/>
    <w:charset w:val="00"/>
    <w:family w:val="auto"/>
    <w:pitch w:val="default"/>
    <w:sig w:usb0="00000000" w:usb1="00000000" w:usb2="00000001" w:usb3="00000000" w:csb0="400001BF" w:csb1="DFF7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Microsoft Yi Baiti">
    <w:panose1 w:val="03000500000000000000"/>
    <w:charset w:val="00"/>
    <w:family w:val="script"/>
    <w:pitch w:val="default"/>
    <w:sig w:usb0="80000003" w:usb1="00010402" w:usb2="00080002"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EndPr>
      <w:rPr>
        <w:rFonts w:ascii="Times New Roman" w:hAnsi="Times New Roman" w:cs="Times New Roman"/>
        <w:sz w:val="28"/>
        <w:szCs w:val="28"/>
      </w:rPr>
    </w:sdtEndPr>
    <w:sdtContent>
      <w:p>
        <w:pPr>
          <w:pStyle w:val="4"/>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7</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yNzEyOGI1ODUzMGJkZjNhYzE2N2Y4YWE0ZTY3MjkifQ=="/>
  </w:docVars>
  <w:rsids>
    <w:rsidRoot w:val="00AE458A"/>
    <w:rsid w:val="0000323F"/>
    <w:rsid w:val="00012F0E"/>
    <w:rsid w:val="0001598E"/>
    <w:rsid w:val="000250DC"/>
    <w:rsid w:val="0003631D"/>
    <w:rsid w:val="000522BD"/>
    <w:rsid w:val="00062F20"/>
    <w:rsid w:val="00065154"/>
    <w:rsid w:val="00072634"/>
    <w:rsid w:val="000A639D"/>
    <w:rsid w:val="000B49FB"/>
    <w:rsid w:val="000B6F10"/>
    <w:rsid w:val="000B7850"/>
    <w:rsid w:val="000E0B94"/>
    <w:rsid w:val="000F66DF"/>
    <w:rsid w:val="00122EE3"/>
    <w:rsid w:val="00123F39"/>
    <w:rsid w:val="00124B96"/>
    <w:rsid w:val="00131237"/>
    <w:rsid w:val="0016354A"/>
    <w:rsid w:val="001642C6"/>
    <w:rsid w:val="001643EB"/>
    <w:rsid w:val="00195F33"/>
    <w:rsid w:val="00196E39"/>
    <w:rsid w:val="0024035C"/>
    <w:rsid w:val="002616F7"/>
    <w:rsid w:val="00271748"/>
    <w:rsid w:val="00273C57"/>
    <w:rsid w:val="0028117A"/>
    <w:rsid w:val="002834CB"/>
    <w:rsid w:val="00296CD0"/>
    <w:rsid w:val="002D0D2E"/>
    <w:rsid w:val="002E0ECF"/>
    <w:rsid w:val="002F4EFB"/>
    <w:rsid w:val="00306711"/>
    <w:rsid w:val="00307A6D"/>
    <w:rsid w:val="00311ADF"/>
    <w:rsid w:val="00323AFF"/>
    <w:rsid w:val="00336862"/>
    <w:rsid w:val="00364270"/>
    <w:rsid w:val="0038758A"/>
    <w:rsid w:val="003A4B9B"/>
    <w:rsid w:val="003A79A4"/>
    <w:rsid w:val="003B704B"/>
    <w:rsid w:val="003C10AE"/>
    <w:rsid w:val="003C7156"/>
    <w:rsid w:val="003D1056"/>
    <w:rsid w:val="003E2541"/>
    <w:rsid w:val="003E4A79"/>
    <w:rsid w:val="003F176F"/>
    <w:rsid w:val="003F3BC3"/>
    <w:rsid w:val="003F4B38"/>
    <w:rsid w:val="003F6C3F"/>
    <w:rsid w:val="00412E4B"/>
    <w:rsid w:val="00430D10"/>
    <w:rsid w:val="00492A79"/>
    <w:rsid w:val="00496A26"/>
    <w:rsid w:val="004D31C0"/>
    <w:rsid w:val="004D5C9A"/>
    <w:rsid w:val="004E06D5"/>
    <w:rsid w:val="004F5172"/>
    <w:rsid w:val="00504E0B"/>
    <w:rsid w:val="00505C49"/>
    <w:rsid w:val="00527836"/>
    <w:rsid w:val="00542F91"/>
    <w:rsid w:val="00554AEE"/>
    <w:rsid w:val="00565A2A"/>
    <w:rsid w:val="00596F61"/>
    <w:rsid w:val="005A2C7A"/>
    <w:rsid w:val="005D065B"/>
    <w:rsid w:val="005E4F22"/>
    <w:rsid w:val="00602A1F"/>
    <w:rsid w:val="00605FBE"/>
    <w:rsid w:val="00606BD7"/>
    <w:rsid w:val="00615732"/>
    <w:rsid w:val="006260FA"/>
    <w:rsid w:val="00637998"/>
    <w:rsid w:val="00641A22"/>
    <w:rsid w:val="00665DE8"/>
    <w:rsid w:val="00680797"/>
    <w:rsid w:val="006C2415"/>
    <w:rsid w:val="006C571D"/>
    <w:rsid w:val="006C71E6"/>
    <w:rsid w:val="006D5802"/>
    <w:rsid w:val="006E3EB7"/>
    <w:rsid w:val="006E5C55"/>
    <w:rsid w:val="006F5D68"/>
    <w:rsid w:val="00700FF4"/>
    <w:rsid w:val="00711D92"/>
    <w:rsid w:val="00716276"/>
    <w:rsid w:val="007259EA"/>
    <w:rsid w:val="00726986"/>
    <w:rsid w:val="007272E0"/>
    <w:rsid w:val="0073383A"/>
    <w:rsid w:val="00735548"/>
    <w:rsid w:val="00746C27"/>
    <w:rsid w:val="007573C3"/>
    <w:rsid w:val="007A295E"/>
    <w:rsid w:val="007B6550"/>
    <w:rsid w:val="007B7938"/>
    <w:rsid w:val="007E16B6"/>
    <w:rsid w:val="007F72C0"/>
    <w:rsid w:val="0080438D"/>
    <w:rsid w:val="0080478E"/>
    <w:rsid w:val="00830F75"/>
    <w:rsid w:val="008323B6"/>
    <w:rsid w:val="00851E91"/>
    <w:rsid w:val="00863FFC"/>
    <w:rsid w:val="00875102"/>
    <w:rsid w:val="00895EEC"/>
    <w:rsid w:val="008968B3"/>
    <w:rsid w:val="008A5668"/>
    <w:rsid w:val="008B3052"/>
    <w:rsid w:val="008E1E4B"/>
    <w:rsid w:val="008E4A15"/>
    <w:rsid w:val="00911202"/>
    <w:rsid w:val="00914096"/>
    <w:rsid w:val="00916308"/>
    <w:rsid w:val="00927A00"/>
    <w:rsid w:val="009302B0"/>
    <w:rsid w:val="00933E28"/>
    <w:rsid w:val="0097501A"/>
    <w:rsid w:val="00990AF9"/>
    <w:rsid w:val="009A03FF"/>
    <w:rsid w:val="009A58CE"/>
    <w:rsid w:val="009B21A1"/>
    <w:rsid w:val="009F5C50"/>
    <w:rsid w:val="009F63AD"/>
    <w:rsid w:val="00A16F1F"/>
    <w:rsid w:val="00A274E7"/>
    <w:rsid w:val="00A5421F"/>
    <w:rsid w:val="00A759BD"/>
    <w:rsid w:val="00A971CD"/>
    <w:rsid w:val="00AC1B6F"/>
    <w:rsid w:val="00AC3B8A"/>
    <w:rsid w:val="00AE458A"/>
    <w:rsid w:val="00B00759"/>
    <w:rsid w:val="00B720C7"/>
    <w:rsid w:val="00B90122"/>
    <w:rsid w:val="00C0548C"/>
    <w:rsid w:val="00C11907"/>
    <w:rsid w:val="00C141AD"/>
    <w:rsid w:val="00C24031"/>
    <w:rsid w:val="00C7112E"/>
    <w:rsid w:val="00C860A4"/>
    <w:rsid w:val="00C95EE0"/>
    <w:rsid w:val="00CB0B17"/>
    <w:rsid w:val="00CB4BFC"/>
    <w:rsid w:val="00CB5B46"/>
    <w:rsid w:val="00CB7831"/>
    <w:rsid w:val="00CC67CB"/>
    <w:rsid w:val="00D03F39"/>
    <w:rsid w:val="00D06A15"/>
    <w:rsid w:val="00D14B83"/>
    <w:rsid w:val="00D27EF6"/>
    <w:rsid w:val="00D41688"/>
    <w:rsid w:val="00D4437C"/>
    <w:rsid w:val="00D50434"/>
    <w:rsid w:val="00D748B8"/>
    <w:rsid w:val="00D842B9"/>
    <w:rsid w:val="00D90ADB"/>
    <w:rsid w:val="00DC709E"/>
    <w:rsid w:val="00DD5AB4"/>
    <w:rsid w:val="00DE04C9"/>
    <w:rsid w:val="00DF3118"/>
    <w:rsid w:val="00E0457B"/>
    <w:rsid w:val="00E16911"/>
    <w:rsid w:val="00E360A3"/>
    <w:rsid w:val="00E415EC"/>
    <w:rsid w:val="00E50E15"/>
    <w:rsid w:val="00E61E33"/>
    <w:rsid w:val="00E92C21"/>
    <w:rsid w:val="00E9365B"/>
    <w:rsid w:val="00EC1FAF"/>
    <w:rsid w:val="00ED032E"/>
    <w:rsid w:val="00ED0BBF"/>
    <w:rsid w:val="00EE442E"/>
    <w:rsid w:val="00EE6333"/>
    <w:rsid w:val="00F247E2"/>
    <w:rsid w:val="00F25CE9"/>
    <w:rsid w:val="00F41ABC"/>
    <w:rsid w:val="00F562E7"/>
    <w:rsid w:val="00F6062F"/>
    <w:rsid w:val="00F64D8E"/>
    <w:rsid w:val="00F928CB"/>
    <w:rsid w:val="00FB3D7B"/>
    <w:rsid w:val="00FC2236"/>
    <w:rsid w:val="00FE1F3E"/>
    <w:rsid w:val="0D2E5719"/>
    <w:rsid w:val="2FFB07C1"/>
    <w:rsid w:val="56BB88BC"/>
    <w:rsid w:val="5EB0FBF4"/>
    <w:rsid w:val="623063CA"/>
    <w:rsid w:val="64DEAE7B"/>
    <w:rsid w:val="77CDC492"/>
    <w:rsid w:val="7BDCC045"/>
    <w:rsid w:val="87DD8A48"/>
    <w:rsid w:val="9DF71647"/>
    <w:rsid w:val="B7FABA62"/>
    <w:rsid w:val="BDF7087A"/>
    <w:rsid w:val="DFD93DDD"/>
    <w:rsid w:val="EDEB39E8"/>
    <w:rsid w:val="EFFD5D3B"/>
    <w:rsid w:val="F33BBD8B"/>
    <w:rsid w:val="FEFF15CA"/>
    <w:rsid w:val="FF35F2A7"/>
    <w:rsid w:val="FFBF8F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Strong"/>
    <w:basedOn w:val="8"/>
    <w:qFormat/>
    <w:uiPriority w:val="22"/>
    <w:rPr>
      <w:b/>
      <w:bCs/>
    </w:rPr>
  </w:style>
  <w:style w:type="character" w:customStyle="1" w:styleId="10">
    <w:name w:val="页眉 Char"/>
    <w:basedOn w:val="8"/>
    <w:link w:val="5"/>
    <w:uiPriority w:val="99"/>
    <w:rPr>
      <w:sz w:val="18"/>
      <w:szCs w:val="18"/>
    </w:rPr>
  </w:style>
  <w:style w:type="character" w:customStyle="1" w:styleId="11">
    <w:name w:val="页脚 Char"/>
    <w:basedOn w:val="8"/>
    <w:link w:val="4"/>
    <w:uiPriority w:val="99"/>
    <w:rPr>
      <w:sz w:val="18"/>
      <w:szCs w:val="18"/>
    </w:rPr>
  </w:style>
  <w:style w:type="character" w:customStyle="1" w:styleId="12">
    <w:name w:val="批注框文本 Char"/>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601</Words>
  <Characters>3426</Characters>
  <Lines>28</Lines>
  <Paragraphs>8</Paragraphs>
  <TotalTime>0</TotalTime>
  <ScaleCrop>false</ScaleCrop>
  <LinksUpToDate>false</LinksUpToDate>
  <CharactersWithSpaces>4019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2024-09-18T07:27:00Z</dcterms:created>
  <dc:creator>86138</dc:creator>
  <cp:lastModifiedBy>CYB</cp:lastModifiedBy>
  <cp:lastPrinted>2024-04-05T09:53:00Z</cp:lastPrinted>
  <dcterms:modified xsi:type="dcterms:W3CDTF">2024-09-29T08:24:20Z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C8E03327B07A493BA2675571C1E456EA_13</vt:lpwstr>
  </property>
</Properties>
</file>