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5B39A">
      <w:pPr>
        <w:keepNext w:val="0"/>
        <w:keepLines w:val="0"/>
        <w:pageBreakBefore w:val="0"/>
        <w:widowControl w:val="0"/>
        <w:kinsoku/>
        <w:wordWrap/>
        <w:topLinePunct w:val="0"/>
        <w:autoSpaceDE w:val="0"/>
        <w:autoSpaceDN w:val="0"/>
        <w:bidi w:val="0"/>
        <w:adjustRightInd/>
        <w:snapToGrid w:val="0"/>
        <w:spacing w:line="590" w:lineRule="exact"/>
        <w:ind w:left="0" w:leftChars="0" w:firstLine="0" w:firstLineChars="0"/>
        <w:textAlignment w:val="auto"/>
        <w:rPr>
          <w:rFonts w:hint="default" w:ascii="Times New Roman" w:hAnsi="Times New Roman" w:eastAsia="方正黑体_GBK" w:cs="Times New Roman"/>
          <w:kern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kern w:val="32"/>
          <w:lang w:val="en-US" w:eastAsia="zh-CN"/>
        </w:rPr>
        <w:t>附件2</w:t>
      </w:r>
    </w:p>
    <w:p w14:paraId="5BFA42F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 w:val="0"/>
        <w:spacing w:line="590" w:lineRule="exact"/>
        <w:ind w:left="0" w:leftChars="0" w:firstLine="0" w:firstLineChars="0"/>
        <w:jc w:val="center"/>
        <w:textAlignment w:val="auto"/>
        <w:rPr>
          <w:rFonts w:hint="eastAsia" w:ascii="方正小标宋_GBK" w:eastAsia="方正小标宋_GBK"/>
          <w:kern w:val="32"/>
          <w:sz w:val="44"/>
        </w:rPr>
      </w:pPr>
    </w:p>
    <w:p w14:paraId="41E1208E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 w:val="0"/>
        <w:spacing w:line="590" w:lineRule="exact"/>
        <w:ind w:left="0" w:leftChars="0" w:firstLine="0" w:firstLineChars="0"/>
        <w:jc w:val="center"/>
        <w:textAlignment w:val="auto"/>
        <w:rPr>
          <w:rFonts w:ascii="方正小标宋_GBK" w:eastAsia="方正小标宋_GBK"/>
          <w:kern w:val="32"/>
          <w:sz w:val="44"/>
        </w:rPr>
      </w:pPr>
      <w:r>
        <w:rPr>
          <w:rFonts w:hint="eastAsia" w:ascii="方正小标宋_GBK" w:eastAsia="方正小标宋_GBK"/>
          <w:kern w:val="32"/>
          <w:sz w:val="44"/>
        </w:rPr>
        <w:t>关于《江苏省</w:t>
      </w:r>
      <w:r>
        <w:rPr>
          <w:rFonts w:hint="eastAsia" w:ascii="方正小标宋_GBK" w:eastAsia="方正小标宋_GBK"/>
          <w:kern w:val="32"/>
          <w:sz w:val="44"/>
          <w:lang w:val="en-US" w:eastAsia="zh-CN"/>
        </w:rPr>
        <w:t>科技计划“揭榜挂帅”项目工作指引（试行）</w:t>
      </w:r>
      <w:r>
        <w:rPr>
          <w:rFonts w:hint="eastAsia" w:ascii="方正小标宋_GBK" w:eastAsia="方正小标宋_GBK"/>
          <w:kern w:val="32"/>
          <w:sz w:val="44"/>
        </w:rPr>
        <w:t>》的起草说明</w:t>
      </w:r>
    </w:p>
    <w:p w14:paraId="54313EE3">
      <w:pPr>
        <w:keepNext w:val="0"/>
        <w:keepLines w:val="0"/>
        <w:pageBreakBefore w:val="0"/>
        <w:widowControl w:val="0"/>
        <w:kinsoku/>
        <w:wordWrap/>
        <w:topLinePunct w:val="0"/>
        <w:autoSpaceDE w:val="0"/>
        <w:autoSpaceDN w:val="0"/>
        <w:bidi w:val="0"/>
        <w:adjustRightInd/>
        <w:snapToGrid w:val="0"/>
        <w:spacing w:line="590" w:lineRule="exact"/>
        <w:ind w:firstLine="872" w:firstLineChars="200"/>
        <w:jc w:val="center"/>
        <w:textAlignment w:val="auto"/>
        <w:rPr>
          <w:rFonts w:ascii="方正小标宋_GBK" w:eastAsia="方正小标宋_GBK"/>
          <w:kern w:val="32"/>
          <w:sz w:val="44"/>
        </w:rPr>
      </w:pPr>
    </w:p>
    <w:p w14:paraId="123F22DC">
      <w:pPr>
        <w:keepNext w:val="0"/>
        <w:keepLines w:val="0"/>
        <w:pageBreakBefore w:val="0"/>
        <w:widowControl w:val="0"/>
        <w:kinsoku/>
        <w:wordWrap/>
        <w:topLinePunct w:val="0"/>
        <w:autoSpaceDE w:val="0"/>
        <w:autoSpaceDN w:val="0"/>
        <w:bidi w:val="0"/>
        <w:adjustRightInd/>
        <w:snapToGrid w:val="0"/>
        <w:spacing w:line="590" w:lineRule="exact"/>
        <w:ind w:firstLine="632" w:firstLineChars="200"/>
        <w:textAlignment w:val="auto"/>
        <w:rPr>
          <w:rFonts w:hint="eastAsia" w:ascii="方正黑体_GBK" w:hAnsi="华文楷体" w:eastAsia="方正黑体_GBK"/>
          <w:snapToGrid/>
          <w:color w:val="000000"/>
          <w:kern w:val="32"/>
        </w:rPr>
      </w:pPr>
      <w:r>
        <w:rPr>
          <w:rFonts w:hint="eastAsia"/>
        </w:rPr>
        <w:t>为</w:t>
      </w:r>
      <w:r>
        <w:rPr>
          <w:rFonts w:hint="eastAsia"/>
          <w:lang w:val="en-US" w:eastAsia="zh-CN"/>
        </w:rPr>
        <w:t>贯彻落实党的二十届三中全会精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神，进一步优化重大科技创新组织机制，统筹强化关键核心技术攻关，深入推进</w:t>
      </w:r>
      <w:r>
        <w:rPr>
          <w:rFonts w:hint="default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“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揭榜挂帅</w:t>
      </w:r>
      <w:r>
        <w:rPr>
          <w:rFonts w:hint="default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”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攻关模式，</w:t>
      </w:r>
      <w:r>
        <w:rPr>
          <w:rFonts w:hint="eastAsia"/>
          <w:kern w:val="32"/>
          <w:lang w:val="en-US" w:eastAsia="zh-CN"/>
        </w:rPr>
        <w:t>省科技厅</w:t>
      </w:r>
      <w:r>
        <w:rPr>
          <w:rFonts w:hint="eastAsia"/>
          <w:kern w:val="32"/>
        </w:rPr>
        <w:t>在充分调研</w:t>
      </w:r>
      <w:r>
        <w:rPr>
          <w:rFonts w:hint="eastAsia"/>
          <w:kern w:val="32"/>
          <w:lang w:val="en-US" w:eastAsia="zh-CN"/>
        </w:rPr>
        <w:t>和</w:t>
      </w:r>
      <w:r>
        <w:rPr>
          <w:rFonts w:hint="eastAsia"/>
          <w:kern w:val="32"/>
        </w:rPr>
        <w:t>征求意见的基础上，研究起草了《江苏省</w:t>
      </w:r>
      <w:r>
        <w:rPr>
          <w:rFonts w:hint="eastAsia"/>
          <w:kern w:val="32"/>
          <w:lang w:val="en-US" w:eastAsia="zh-CN"/>
        </w:rPr>
        <w:t>科技计划“揭榜挂帅”项目工作指引（试行）</w:t>
      </w:r>
      <w:r>
        <w:rPr>
          <w:rFonts w:hint="eastAsia"/>
          <w:kern w:val="32"/>
        </w:rPr>
        <w:t>》（以下简称“</w:t>
      </w:r>
      <w:r>
        <w:rPr>
          <w:rFonts w:hint="eastAsia"/>
          <w:kern w:val="32"/>
          <w:lang w:val="en-US" w:eastAsia="zh-CN"/>
        </w:rPr>
        <w:t>工作指引</w:t>
      </w:r>
      <w:r>
        <w:rPr>
          <w:rFonts w:hint="eastAsia"/>
          <w:kern w:val="32"/>
        </w:rPr>
        <w:t>”）。</w:t>
      </w:r>
    </w:p>
    <w:p w14:paraId="03283A47">
      <w:pPr>
        <w:keepNext w:val="0"/>
        <w:keepLines w:val="0"/>
        <w:pageBreakBefore w:val="0"/>
        <w:widowControl w:val="0"/>
        <w:kinsoku/>
        <w:wordWrap/>
        <w:topLinePunct w:val="0"/>
        <w:autoSpaceDE w:val="0"/>
        <w:autoSpaceDN w:val="0"/>
        <w:bidi w:val="0"/>
        <w:adjustRightInd/>
        <w:snapToGrid w:val="0"/>
        <w:spacing w:line="590" w:lineRule="exact"/>
        <w:ind w:firstLine="632" w:firstLineChars="200"/>
        <w:textAlignment w:val="auto"/>
        <w:rPr>
          <w:rFonts w:hint="eastAsia" w:ascii="方正黑体_GBK" w:hAnsi="华文楷体" w:eastAsia="方正黑体_GBK"/>
          <w:snapToGrid/>
          <w:color w:val="000000"/>
          <w:kern w:val="32"/>
        </w:rPr>
      </w:pPr>
      <w:r>
        <w:rPr>
          <w:rFonts w:hint="eastAsia" w:ascii="方正黑体_GBK" w:hAnsi="华文楷体" w:eastAsia="方正黑体_GBK"/>
          <w:snapToGrid/>
          <w:color w:val="000000"/>
          <w:kern w:val="32"/>
          <w:lang w:val="en-US" w:eastAsia="zh-CN"/>
        </w:rPr>
        <w:t>一</w:t>
      </w:r>
      <w:r>
        <w:rPr>
          <w:rFonts w:hint="eastAsia" w:ascii="方正黑体_GBK" w:hAnsi="华文楷体" w:eastAsia="方正黑体_GBK"/>
          <w:snapToGrid/>
          <w:color w:val="000000"/>
          <w:kern w:val="32"/>
        </w:rPr>
        <w:t>、总体考虑</w:t>
      </w:r>
    </w:p>
    <w:p w14:paraId="36FF0001">
      <w:pPr>
        <w:keepNext w:val="0"/>
        <w:keepLines w:val="0"/>
        <w:pageBreakBefore w:val="0"/>
        <w:widowControl w:val="0"/>
        <w:kinsoku/>
        <w:wordWrap/>
        <w:topLinePunct w:val="0"/>
        <w:autoSpaceDE w:val="0"/>
        <w:autoSpaceDN w:val="0"/>
        <w:bidi w:val="0"/>
        <w:adjustRightInd/>
        <w:snapToGrid w:val="0"/>
        <w:spacing w:line="590" w:lineRule="exact"/>
        <w:ind w:firstLine="632" w:firstLineChars="200"/>
        <w:textAlignment w:val="auto"/>
        <w:rPr>
          <w:rFonts w:hint="eastAsia" w:eastAsia="方正楷体_GBK"/>
          <w:szCs w:val="32"/>
        </w:rPr>
      </w:pPr>
      <w:r>
        <w:rPr>
          <w:szCs w:val="32"/>
        </w:rPr>
        <w:t>主要</w:t>
      </w:r>
      <w:r>
        <w:rPr>
          <w:rFonts w:hint="eastAsia"/>
          <w:szCs w:val="32"/>
          <w:lang w:val="en-US" w:eastAsia="zh-CN"/>
        </w:rPr>
        <w:t>遵循四个方面要求</w:t>
      </w:r>
      <w:r>
        <w:rPr>
          <w:szCs w:val="32"/>
        </w:rPr>
        <w:t>：</w:t>
      </w:r>
      <w:r>
        <w:rPr>
          <w:rFonts w:eastAsia="方正楷体_GBK"/>
          <w:szCs w:val="32"/>
        </w:rPr>
        <w:t>一是</w:t>
      </w:r>
      <w:r>
        <w:rPr>
          <w:rFonts w:hint="eastAsia" w:eastAsia="方正楷体_GBK"/>
          <w:szCs w:val="32"/>
          <w:lang w:val="en-US" w:eastAsia="zh-CN"/>
        </w:rPr>
        <w:t>坚持任务需求导向。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明确</w:t>
      </w:r>
      <w:r>
        <w:rPr>
          <w:rFonts w:hint="default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“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揭榜挂帅</w:t>
      </w:r>
      <w:r>
        <w:rPr>
          <w:rFonts w:hint="default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”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项目应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是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紧紧围绕国家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战略需要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和我省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产业需求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，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聚焦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产业科技创新中心目标任务，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按照“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需求目标清晰、应用导向鲜明、最终用户明确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”的原则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，通过公开张榜、揭榜评审等流程立项的省科技计划项目。</w:t>
      </w:r>
      <w:r>
        <w:rPr>
          <w:rFonts w:hint="eastAsia" w:eastAsia="方正楷体_GBK"/>
          <w:szCs w:val="32"/>
          <w:lang w:val="en-US" w:eastAsia="zh-CN"/>
        </w:rPr>
        <w:t>二是强化企业主体作用。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着力发挥企业在“出题、答题、验题”方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面的优势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，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鼓励企业面向产业创新需求，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牵头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凝练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共性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技术难题，作为</w:t>
      </w:r>
      <w:r>
        <w:rPr>
          <w:rFonts w:hint="default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“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揭榜挂帅</w:t>
      </w:r>
      <w:r>
        <w:rPr>
          <w:rFonts w:hint="default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”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榜单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重要决策来源；支持有实力的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科技企业与省科技厅联合出资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实施</w:t>
      </w:r>
      <w:r>
        <w:rPr>
          <w:rFonts w:hint="default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“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揭榜挂帅</w:t>
      </w:r>
      <w:r>
        <w:rPr>
          <w:rFonts w:hint="default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”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技术攻关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；强化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真实场景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下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验证考核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力度，提高出题企业验收结题主导权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。</w:t>
      </w:r>
      <w:r>
        <w:rPr>
          <w:rFonts w:hint="eastAsia" w:eastAsia="方正楷体_GBK"/>
          <w:szCs w:val="32"/>
          <w:lang w:val="en-US" w:eastAsia="zh-CN"/>
        </w:rPr>
        <w:t>三是深化组织机制创新。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着力强化“揭榜挂帅”攻关任务“实战性”，深入推行“赛马制”组织模式，</w:t>
      </w:r>
      <w:bookmarkStart w:id="0" w:name="OLE_LINK11"/>
      <w:bookmarkStart w:id="1" w:name="OLE_LINK12"/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支持不同团队开展平行攻关</w:t>
      </w:r>
      <w:bookmarkEnd w:id="0"/>
      <w:bookmarkEnd w:id="1"/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；企业出题项目不受申报地域限制，且资助方式调整为后补助方式，对通过验收的项目，给予出</w:t>
      </w:r>
      <w:r>
        <w:rPr>
          <w:rFonts w:hint="eastAsia" w:cs="Times New Roman"/>
          <w:snapToGrid w:val="0"/>
          <w:sz w:val="32"/>
          <w:szCs w:val="32"/>
          <w:highlight w:val="none"/>
          <w:lang w:val="en-US" w:eastAsia="zh-CN" w:bidi="ar"/>
        </w:rPr>
        <w:t>题企业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highlight w:val="none"/>
          <w:lang w:val="en-US" w:eastAsia="zh-CN" w:bidi="ar"/>
        </w:rPr>
        <w:t>最高不超过其出资额度的</w:t>
      </w:r>
      <w:r>
        <w:rPr>
          <w:rFonts w:hint="default" w:ascii="Times New Roman" w:hAnsi="Times New Roman" w:eastAsia="方正仿宋_GBK" w:cs="Times New Roman"/>
          <w:snapToGrid w:val="0"/>
          <w:sz w:val="32"/>
          <w:szCs w:val="32"/>
          <w:highlight w:val="none"/>
          <w:lang w:val="en-US" w:eastAsia="zh-CN" w:bidi="ar"/>
        </w:rPr>
        <w:t>30%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highlight w:val="none"/>
          <w:lang w:val="en-US" w:eastAsia="zh-CN" w:bidi="ar"/>
        </w:rPr>
        <w:t>、单项不超过</w:t>
      </w:r>
      <w:r>
        <w:rPr>
          <w:rFonts w:hint="default" w:ascii="Times New Roman" w:hAnsi="Times New Roman" w:eastAsia="方正仿宋_GBK" w:cs="Times New Roman"/>
          <w:snapToGrid w:val="0"/>
          <w:sz w:val="32"/>
          <w:szCs w:val="32"/>
          <w:highlight w:val="none"/>
          <w:lang w:val="en-US" w:eastAsia="zh-CN" w:bidi="ar"/>
        </w:rPr>
        <w:t>1500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highlight w:val="none"/>
          <w:lang w:val="en-US" w:eastAsia="zh-CN" w:bidi="ar"/>
        </w:rPr>
        <w:t>万元的经费补助</w:t>
      </w:r>
      <w:r>
        <w:rPr>
          <w:rFonts w:hint="eastAsia" w:cs="Times New Roman"/>
          <w:snapToGrid w:val="0"/>
          <w:sz w:val="32"/>
          <w:szCs w:val="32"/>
          <w:highlight w:val="none"/>
          <w:lang w:val="en-US" w:eastAsia="zh-CN" w:bidi="ar"/>
        </w:rPr>
        <w:t>；项目评审遴选可采取申报团队相互质询、同场竞技等方式，提高项目竞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争择优质量。项目实施“军令状”“里程碑”考核等管理方式，推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行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“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预算</w:t>
      </w:r>
      <w:r>
        <w:rPr>
          <w:rFonts w:hint="default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+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负面清单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”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管理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，充分赋权揭榜单位。</w:t>
      </w:r>
      <w:r>
        <w:rPr>
          <w:rFonts w:hint="eastAsia" w:eastAsia="方正楷体_GBK"/>
          <w:szCs w:val="32"/>
          <w:lang w:val="en-US" w:eastAsia="zh-CN"/>
        </w:rPr>
        <w:t>四是严格全程管理责任。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围绕强化项目全过程管理，进一步细化省科技厅、项目主管部门、项目管理专业机构和揭榜单位责任分工，完善从指南编制、发布和揭榜到评审立项和实施管理与验收各个环节程序，强化关键节点工作标准和责任落实，保证“揭榜挂帅”项目实施质量。探索实行责任专家和项目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监理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人制度，深度参与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项目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实施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管理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，责任专家对项目实施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质量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终身负责。</w:t>
      </w:r>
    </w:p>
    <w:p w14:paraId="26E0B6E8">
      <w:pPr>
        <w:keepNext w:val="0"/>
        <w:keepLines w:val="0"/>
        <w:pageBreakBefore w:val="0"/>
        <w:widowControl w:val="0"/>
        <w:kinsoku/>
        <w:wordWrap/>
        <w:topLinePunct w:val="0"/>
        <w:autoSpaceDE w:val="0"/>
        <w:autoSpaceDN w:val="0"/>
        <w:bidi w:val="0"/>
        <w:adjustRightInd/>
        <w:snapToGrid w:val="0"/>
        <w:spacing w:line="590" w:lineRule="exact"/>
        <w:ind w:firstLine="632" w:firstLineChars="200"/>
        <w:textAlignment w:val="auto"/>
        <w:rPr>
          <w:rFonts w:hint="eastAsia" w:ascii="方正黑体_GBK" w:hAnsi="华文楷体" w:eastAsia="方正黑体_GBK"/>
          <w:snapToGrid/>
          <w:color w:val="000000"/>
          <w:kern w:val="32"/>
        </w:rPr>
      </w:pPr>
      <w:r>
        <w:rPr>
          <w:rFonts w:hint="eastAsia" w:ascii="方正黑体_GBK" w:hAnsi="华文楷体" w:eastAsia="方正黑体_GBK"/>
          <w:snapToGrid/>
          <w:color w:val="000000"/>
          <w:kern w:val="32"/>
          <w:lang w:val="en-US" w:eastAsia="zh-CN"/>
        </w:rPr>
        <w:t>二</w:t>
      </w:r>
      <w:r>
        <w:rPr>
          <w:rFonts w:hint="eastAsia" w:ascii="方正黑体_GBK" w:hAnsi="华文楷体" w:eastAsia="方正黑体_GBK"/>
          <w:snapToGrid/>
          <w:color w:val="000000"/>
          <w:kern w:val="32"/>
        </w:rPr>
        <w:t>、主要内容</w:t>
      </w:r>
    </w:p>
    <w:p w14:paraId="05E6B9CF">
      <w:pPr>
        <w:keepNext w:val="0"/>
        <w:keepLines w:val="0"/>
        <w:pageBreakBefore w:val="0"/>
        <w:widowControl w:val="0"/>
        <w:kinsoku/>
        <w:wordWrap/>
        <w:topLinePunct w:val="0"/>
        <w:autoSpaceDE w:val="0"/>
        <w:autoSpaceDN w:val="0"/>
        <w:bidi w:val="0"/>
        <w:adjustRightInd/>
        <w:snapToGrid w:val="0"/>
        <w:spacing w:line="590" w:lineRule="exact"/>
        <w:ind w:firstLine="632" w:firstLineChars="200"/>
        <w:textAlignment w:val="auto"/>
        <w:rPr>
          <w:rFonts w:hint="eastAsia" w:ascii="方正黑体_GBK" w:hAnsi="华文楷体" w:eastAsia="方正黑体_GBK"/>
          <w:snapToGrid/>
          <w:color w:val="000000"/>
          <w:kern w:val="32"/>
        </w:rPr>
      </w:pPr>
      <w:r>
        <w:rPr>
          <w:rFonts w:hint="eastAsia"/>
          <w:kern w:val="32"/>
        </w:rPr>
        <w:t>《</w:t>
      </w:r>
      <w:r>
        <w:rPr>
          <w:rFonts w:hint="eastAsia"/>
          <w:kern w:val="32"/>
          <w:lang w:val="en-US" w:eastAsia="zh-CN"/>
        </w:rPr>
        <w:t>工作指引</w:t>
      </w:r>
      <w:r>
        <w:rPr>
          <w:rFonts w:hint="eastAsia"/>
          <w:kern w:val="32"/>
        </w:rPr>
        <w:t>》共包括</w:t>
      </w:r>
      <w:r>
        <w:rPr>
          <w:rFonts w:hint="eastAsia"/>
          <w:kern w:val="32"/>
          <w:lang w:val="en-US" w:eastAsia="zh-CN"/>
        </w:rPr>
        <w:t>6</w:t>
      </w:r>
      <w:r>
        <w:rPr>
          <w:rFonts w:hint="eastAsia"/>
          <w:kern w:val="32"/>
        </w:rPr>
        <w:t>章，</w:t>
      </w:r>
      <w:r>
        <w:rPr>
          <w:rFonts w:hint="eastAsia"/>
          <w:kern w:val="32"/>
          <w:lang w:val="en-US" w:eastAsia="zh-CN"/>
        </w:rPr>
        <w:t>26</w:t>
      </w:r>
      <w:r>
        <w:rPr>
          <w:rFonts w:hint="eastAsia"/>
          <w:kern w:val="32"/>
        </w:rPr>
        <w:t>条。</w:t>
      </w:r>
    </w:p>
    <w:p w14:paraId="3228080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90" w:lineRule="exact"/>
        <w:ind w:firstLine="632" w:firstLineChars="200"/>
        <w:textAlignment w:val="auto"/>
        <w:rPr>
          <w:kern w:val="32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kern w:val="32"/>
          <w:lang w:val="en-US" w:eastAsia="zh-CN"/>
        </w:rPr>
        <w:t>第一章 总则。</w:t>
      </w:r>
      <w:r>
        <w:rPr>
          <w:rFonts w:hint="eastAsia"/>
          <w:kern w:val="32"/>
        </w:rPr>
        <w:t>包括</w:t>
      </w:r>
      <w:r>
        <w:rPr>
          <w:rFonts w:hint="eastAsia"/>
          <w:kern w:val="32"/>
          <w:lang w:val="en-US" w:eastAsia="zh-CN"/>
        </w:rPr>
        <w:t>制定依据、项目定位、基本原则等内容，突出强调</w:t>
      </w:r>
      <w:r>
        <w:rPr>
          <w:rFonts w:hint="eastAsia"/>
          <w:kern w:val="32"/>
        </w:rPr>
        <w:t>《</w:t>
      </w:r>
      <w:r>
        <w:rPr>
          <w:rFonts w:hint="eastAsia"/>
          <w:kern w:val="32"/>
          <w:lang w:val="en-US" w:eastAsia="zh-CN"/>
        </w:rPr>
        <w:t>工作指引</w:t>
      </w:r>
      <w:r>
        <w:rPr>
          <w:rFonts w:hint="eastAsia"/>
          <w:kern w:val="32"/>
        </w:rPr>
        <w:t>》</w:t>
      </w:r>
      <w:r>
        <w:rPr>
          <w:rFonts w:hint="eastAsia"/>
          <w:kern w:val="32"/>
          <w:lang w:val="en-US" w:eastAsia="zh-CN"/>
        </w:rPr>
        <w:t>制订的重要意义，以及项目实施的具体范围和总体原则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。</w:t>
      </w:r>
    </w:p>
    <w:p w14:paraId="42D745C3">
      <w:pPr>
        <w:keepNext w:val="0"/>
        <w:keepLines w:val="0"/>
        <w:pageBreakBefore w:val="0"/>
        <w:widowControl w:val="0"/>
        <w:kinsoku/>
        <w:wordWrap/>
        <w:topLinePunct w:val="0"/>
        <w:autoSpaceDE w:val="0"/>
        <w:autoSpaceDN w:val="0"/>
        <w:bidi w:val="0"/>
        <w:adjustRightInd/>
        <w:snapToGrid w:val="0"/>
        <w:spacing w:line="590" w:lineRule="exact"/>
        <w:ind w:firstLine="632" w:firstLineChars="200"/>
        <w:textAlignment w:val="auto"/>
        <w:rPr>
          <w:kern w:val="32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kern w:val="32"/>
          <w:lang w:val="en-US" w:eastAsia="zh-CN"/>
        </w:rPr>
        <w:t>第二章 管理职责。</w:t>
      </w:r>
      <w:r>
        <w:rPr>
          <w:rFonts w:hint="eastAsia"/>
          <w:kern w:val="32"/>
        </w:rPr>
        <w:t>分别明确了省科技厅、项目主管部门、</w:t>
      </w:r>
      <w:r>
        <w:rPr>
          <w:rFonts w:hint="eastAsia"/>
          <w:kern w:val="32"/>
          <w:lang w:val="en-US" w:eastAsia="zh-CN"/>
        </w:rPr>
        <w:t>项目管理专业机构、</w:t>
      </w:r>
      <w:r>
        <w:rPr>
          <w:rFonts w:hint="eastAsia"/>
          <w:kern w:val="32"/>
        </w:rPr>
        <w:t>项目承担单位及</w:t>
      </w:r>
      <w:r>
        <w:rPr>
          <w:rFonts w:hint="eastAsia"/>
          <w:kern w:val="32"/>
          <w:lang w:val="en-US" w:eastAsia="zh-CN"/>
        </w:rPr>
        <w:t>揭榜单位</w:t>
      </w:r>
      <w:r>
        <w:rPr>
          <w:rFonts w:hint="eastAsia"/>
          <w:kern w:val="32"/>
        </w:rPr>
        <w:t>的职责分工</w:t>
      </w:r>
      <w:r>
        <w:rPr>
          <w:rFonts w:hint="eastAsia"/>
          <w:kern w:val="32"/>
          <w:lang w:eastAsia="zh-CN"/>
        </w:rPr>
        <w:t>，</w:t>
      </w:r>
      <w:r>
        <w:rPr>
          <w:rFonts w:hint="eastAsia"/>
          <w:kern w:val="32"/>
          <w:lang w:val="en-US" w:eastAsia="zh-CN"/>
        </w:rPr>
        <w:t>进一步压实各级管理责任，明确任务分工</w:t>
      </w:r>
      <w:r>
        <w:rPr>
          <w:rFonts w:hint="eastAsia"/>
          <w:kern w:val="32"/>
        </w:rPr>
        <w:t>。</w:t>
      </w:r>
    </w:p>
    <w:p w14:paraId="178147CE">
      <w:pPr>
        <w:keepNext w:val="0"/>
        <w:keepLines w:val="0"/>
        <w:pageBreakBefore w:val="0"/>
        <w:widowControl w:val="0"/>
        <w:kinsoku/>
        <w:wordWrap/>
        <w:topLinePunct w:val="0"/>
        <w:autoSpaceDE w:val="0"/>
        <w:autoSpaceDN w:val="0"/>
        <w:bidi w:val="0"/>
        <w:adjustRightInd/>
        <w:snapToGrid w:val="0"/>
        <w:spacing w:line="590" w:lineRule="exact"/>
        <w:ind w:firstLine="632" w:firstLineChars="200"/>
        <w:textAlignment w:val="auto"/>
        <w:rPr>
          <w:rFonts w:hint="default" w:eastAsia="方正仿宋_GBK"/>
          <w:kern w:val="32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kern w:val="32"/>
          <w:lang w:val="en-US" w:eastAsia="zh-CN"/>
        </w:rPr>
        <w:t>第三章 榜单编制</w:t>
      </w:r>
      <w:bookmarkStart w:id="2" w:name="OLE_LINK15"/>
      <w:bookmarkStart w:id="3" w:name="OLE_LINK16"/>
      <w:r>
        <w:rPr>
          <w:rFonts w:hint="eastAsia" w:ascii="方正楷体_GBK" w:hAnsi="方正楷体_GBK" w:eastAsia="方正楷体_GBK" w:cs="方正楷体_GBK"/>
          <w:b w:val="0"/>
          <w:bCs w:val="0"/>
          <w:kern w:val="32"/>
          <w:lang w:val="en-US" w:eastAsia="zh-CN"/>
        </w:rPr>
        <w:t>、发布和揭榜</w:t>
      </w:r>
      <w:bookmarkEnd w:id="2"/>
      <w:bookmarkEnd w:id="3"/>
      <w:r>
        <w:rPr>
          <w:rFonts w:hint="eastAsia"/>
          <w:kern w:val="32"/>
        </w:rPr>
        <w:t>。包括</w:t>
      </w:r>
      <w:r>
        <w:rPr>
          <w:rFonts w:hint="eastAsia"/>
          <w:kern w:val="32"/>
          <w:lang w:val="en-US" w:eastAsia="zh-CN"/>
        </w:rPr>
        <w:t>项目指南征集编制、榜单发布、揭榜单位和项目负责人申报要求等，并对企业出题项目组织实施进行重点明确。</w:t>
      </w:r>
    </w:p>
    <w:p w14:paraId="6C8D50D2">
      <w:pPr>
        <w:keepNext w:val="0"/>
        <w:keepLines w:val="0"/>
        <w:pageBreakBefore w:val="0"/>
        <w:widowControl w:val="0"/>
        <w:kinsoku/>
        <w:wordWrap/>
        <w:topLinePunct w:val="0"/>
        <w:autoSpaceDE w:val="0"/>
        <w:autoSpaceDN w:val="0"/>
        <w:bidi w:val="0"/>
        <w:adjustRightInd/>
        <w:snapToGrid w:val="0"/>
        <w:spacing w:line="590" w:lineRule="exact"/>
        <w:ind w:firstLine="632" w:firstLineChars="200"/>
        <w:textAlignment w:val="auto"/>
        <w:rPr>
          <w:rFonts w:hint="eastAsia"/>
          <w:kern w:val="32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kern w:val="32"/>
          <w:lang w:val="en-US" w:eastAsia="zh-CN"/>
        </w:rPr>
        <w:t xml:space="preserve">第四章 </w:t>
      </w:r>
      <w:bookmarkStart w:id="4" w:name="OLE_LINK18"/>
      <w:bookmarkStart w:id="5" w:name="OLE_LINK17"/>
      <w:r>
        <w:rPr>
          <w:rFonts w:hint="eastAsia" w:ascii="方正楷体_GBK" w:hAnsi="方正楷体_GBK" w:eastAsia="方正楷体_GBK" w:cs="方正楷体_GBK"/>
          <w:b w:val="0"/>
          <w:bCs w:val="0"/>
          <w:kern w:val="32"/>
          <w:lang w:val="en-US" w:eastAsia="zh-CN"/>
        </w:rPr>
        <w:t>评审立项</w:t>
      </w:r>
      <w:bookmarkEnd w:id="4"/>
      <w:bookmarkEnd w:id="5"/>
      <w:r>
        <w:rPr>
          <w:rFonts w:hint="eastAsia" w:ascii="方正楷体_GBK" w:hAnsi="方正楷体_GBK" w:eastAsia="方正楷体_GBK" w:cs="方正楷体_GBK"/>
          <w:b w:val="0"/>
          <w:bCs w:val="0"/>
          <w:kern w:val="32"/>
          <w:lang w:val="en-US" w:eastAsia="zh-CN"/>
        </w:rPr>
        <w:t>。</w:t>
      </w:r>
      <w:r>
        <w:rPr>
          <w:rFonts w:hint="eastAsia"/>
          <w:kern w:val="32"/>
          <w:lang w:val="en-US" w:eastAsia="zh-CN"/>
        </w:rPr>
        <w:t>包括评审立项流程、项目论证方式、合同约定事项以及经费拨付方式等内容，重点突出项目组织实施的规范性和科学性。</w:t>
      </w:r>
    </w:p>
    <w:p w14:paraId="4E549CAF">
      <w:pPr>
        <w:keepNext w:val="0"/>
        <w:keepLines w:val="0"/>
        <w:pageBreakBefore w:val="0"/>
        <w:widowControl w:val="0"/>
        <w:kinsoku/>
        <w:wordWrap/>
        <w:topLinePunct w:val="0"/>
        <w:autoSpaceDE w:val="0"/>
        <w:autoSpaceDN w:val="0"/>
        <w:bidi w:val="0"/>
        <w:adjustRightInd/>
        <w:snapToGrid w:val="0"/>
        <w:spacing w:line="590" w:lineRule="exact"/>
        <w:ind w:firstLine="632" w:firstLineChars="200"/>
        <w:textAlignment w:val="auto"/>
        <w:rPr>
          <w:rFonts w:hint="default" w:eastAsia="方正仿宋_GBK"/>
          <w:kern w:val="32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kern w:val="32"/>
          <w:lang w:val="en-US" w:eastAsia="zh-CN"/>
        </w:rPr>
        <w:t xml:space="preserve">第五章 </w:t>
      </w:r>
      <w:bookmarkStart w:id="6" w:name="OLE_LINK19"/>
      <w:bookmarkStart w:id="7" w:name="OLE_LINK20"/>
      <w:r>
        <w:rPr>
          <w:rFonts w:hint="eastAsia" w:ascii="方正楷体_GBK" w:hAnsi="方正楷体_GBK" w:eastAsia="方正楷体_GBK" w:cs="方正楷体_GBK"/>
          <w:b w:val="0"/>
          <w:bCs w:val="0"/>
          <w:kern w:val="32"/>
          <w:lang w:val="en-US" w:eastAsia="zh-CN"/>
        </w:rPr>
        <w:t>实施管理与验收</w:t>
      </w:r>
      <w:bookmarkEnd w:id="6"/>
      <w:bookmarkEnd w:id="7"/>
      <w:r>
        <w:rPr>
          <w:rFonts w:hint="eastAsia" w:ascii="方正楷体_GBK" w:hAnsi="方正楷体_GBK" w:eastAsia="方正楷体_GBK" w:cs="方正楷体_GBK"/>
          <w:b w:val="0"/>
          <w:bCs w:val="0"/>
          <w:kern w:val="32"/>
          <w:lang w:val="en-US" w:eastAsia="zh-CN"/>
        </w:rPr>
        <w:t>。</w:t>
      </w:r>
      <w:r>
        <w:rPr>
          <w:rFonts w:hint="eastAsia"/>
          <w:kern w:val="32"/>
          <w:lang w:val="en-US" w:eastAsia="zh-CN"/>
        </w:rPr>
        <w:t>包括</w:t>
      </w:r>
      <w:r>
        <w:rPr>
          <w:rFonts w:hint="eastAsia"/>
          <w:kern w:val="32"/>
        </w:rPr>
        <w:t>项目</w:t>
      </w:r>
      <w:r>
        <w:rPr>
          <w:rFonts w:hint="eastAsia"/>
          <w:kern w:val="32"/>
          <w:lang w:val="en-US" w:eastAsia="zh-CN"/>
        </w:rPr>
        <w:t>合同履行、赋权放权事项、探索责任专家及项目监理人制度、“里程碑”考核、实行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“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预算</w:t>
      </w:r>
      <w:r>
        <w:rPr>
          <w:rFonts w:hint="default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+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负面清单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”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  <w:lang w:val="en-US" w:eastAsia="zh-CN" w:bidi="ar"/>
        </w:rPr>
        <w:t>管理</w:t>
      </w:r>
      <w:r>
        <w:rPr>
          <w:rFonts w:hint="eastAsia" w:cs="Times New Roman"/>
          <w:snapToGrid w:val="0"/>
          <w:sz w:val="32"/>
          <w:szCs w:val="32"/>
          <w:lang w:val="en-US" w:eastAsia="zh-CN" w:bidi="ar"/>
        </w:rPr>
        <w:t>等内容，主旨是以创新工作实践提升组织管理质效。</w:t>
      </w:r>
    </w:p>
    <w:p w14:paraId="46AA7FBA">
      <w:pPr>
        <w:keepNext w:val="0"/>
        <w:keepLines w:val="0"/>
        <w:pageBreakBefore w:val="0"/>
        <w:widowControl w:val="0"/>
        <w:kinsoku/>
        <w:wordWrap/>
        <w:topLinePunct w:val="0"/>
        <w:autoSpaceDE w:val="0"/>
        <w:autoSpaceDN w:val="0"/>
        <w:bidi w:val="0"/>
        <w:adjustRightInd/>
        <w:snapToGrid w:val="0"/>
        <w:spacing w:line="590" w:lineRule="exact"/>
        <w:ind w:firstLine="632" w:firstLineChars="200"/>
        <w:textAlignment w:val="auto"/>
        <w:rPr>
          <w:kern w:val="32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kern w:val="32"/>
          <w:lang w:val="en-US" w:eastAsia="zh-CN"/>
        </w:rPr>
        <w:t>第六章 附则。</w:t>
      </w:r>
      <w:r>
        <w:rPr>
          <w:rFonts w:hint="eastAsia"/>
          <w:kern w:val="32"/>
        </w:rPr>
        <w:t>包括《管理办法》的解释权、生效时间等。</w:t>
      </w:r>
    </w:p>
    <w:p w14:paraId="792CA3E0">
      <w:pPr>
        <w:keepNext w:val="0"/>
        <w:keepLines w:val="0"/>
        <w:pageBreakBefore w:val="0"/>
        <w:widowControl w:val="0"/>
        <w:kinsoku/>
        <w:wordWrap/>
        <w:topLinePunct w:val="0"/>
        <w:autoSpaceDE w:val="0"/>
        <w:autoSpaceDN w:val="0"/>
        <w:bidi w:val="0"/>
        <w:adjustRightInd/>
        <w:snapToGrid w:val="0"/>
        <w:spacing w:line="590" w:lineRule="exact"/>
        <w:ind w:firstLine="632" w:firstLineChars="200"/>
        <w:textAlignment w:val="auto"/>
        <w:rPr>
          <w:kern w:val="32"/>
        </w:rPr>
      </w:pPr>
    </w:p>
    <w:p w14:paraId="0498EB77">
      <w:pPr>
        <w:keepNext w:val="0"/>
        <w:keepLines w:val="0"/>
        <w:pageBreakBefore w:val="0"/>
        <w:widowControl w:val="0"/>
        <w:kinsoku/>
        <w:wordWrap/>
        <w:topLinePunct w:val="0"/>
        <w:autoSpaceDE w:val="0"/>
        <w:autoSpaceDN w:val="0"/>
        <w:bidi w:val="0"/>
        <w:adjustRightInd/>
        <w:snapToGrid w:val="0"/>
        <w:spacing w:line="590" w:lineRule="exact"/>
        <w:ind w:firstLine="632" w:firstLineChars="200"/>
        <w:textAlignment w:val="auto"/>
        <w:rPr>
          <w:kern w:val="32"/>
        </w:rPr>
      </w:pPr>
    </w:p>
    <w:p w14:paraId="6277547A">
      <w:bookmarkStart w:id="8" w:name="_GoBack"/>
      <w:bookmarkEnd w:id="8"/>
    </w:p>
    <w:sectPr>
      <w:headerReference r:id="rId5" w:type="default"/>
      <w:footerReference r:id="rId7" w:type="default"/>
      <w:headerReference r:id="rId6" w:type="even"/>
      <w:footerReference r:id="rId8" w:type="even"/>
      <w:pgSz w:w="11906" w:h="16838"/>
      <w:pgMar w:top="1871" w:right="1531" w:bottom="1985" w:left="1531" w:header="720" w:footer="1474" w:gutter="0"/>
      <w:paperSrc w:first="15" w:other="15"/>
      <w:pgNumType w:start="1"/>
      <w:cols w:space="720" w:num="1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08A891">
    <w:pPr>
      <w:pStyle w:val="2"/>
      <w:ind w:left="320" w:leftChars="100" w:right="320" w:rightChars="100"/>
    </w:pPr>
    <w:r>
      <w:rPr>
        <w:rFonts w:hint="eastAsia"/>
      </w:rPr>
      <w:t xml:space="preserve">— </w:t>
    </w:r>
    <w:r>
      <w:rPr>
        <w:rStyle w:val="6"/>
      </w:rPr>
      <w:fldChar w:fldCharType="begin"/>
    </w:r>
    <w:r>
      <w:rPr>
        <w:rStyle w:val="6"/>
      </w:rPr>
      <w:instrText xml:space="preserve"> PAGE </w:instrText>
    </w:r>
    <w:r>
      <w:rPr>
        <w:rStyle w:val="6"/>
      </w:rPr>
      <w:fldChar w:fldCharType="separate"/>
    </w:r>
    <w:r>
      <w:rPr>
        <w:rStyle w:val="6"/>
      </w:rPr>
      <w:t>1</w:t>
    </w:r>
    <w:r>
      <w:rPr>
        <w:rStyle w:val="6"/>
      </w:rPr>
      <w:fldChar w:fldCharType="end"/>
    </w:r>
    <w:r>
      <w:rPr>
        <w:rStyle w:val="6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C1066F">
    <w:pPr>
      <w:pStyle w:val="2"/>
      <w:ind w:left="320" w:leftChars="100" w:right="320" w:rightChars="100"/>
    </w:pPr>
    <w:r>
      <w:rPr>
        <w:rFonts w:hint="eastAsia"/>
      </w:rPr>
      <w:t>—</w:t>
    </w:r>
    <w:r>
      <w:t xml:space="preserve"> </w:t>
    </w:r>
    <w:r>
      <w:rPr>
        <w:rStyle w:val="6"/>
      </w:rPr>
      <w:fldChar w:fldCharType="begin"/>
    </w:r>
    <w:r>
      <w:rPr>
        <w:rStyle w:val="6"/>
      </w:rPr>
      <w:instrText xml:space="preserve"> PAGE </w:instrText>
    </w:r>
    <w:r>
      <w:rPr>
        <w:rStyle w:val="6"/>
      </w:rPr>
      <w:fldChar w:fldCharType="separate"/>
    </w:r>
    <w:r>
      <w:rPr>
        <w:rStyle w:val="6"/>
      </w:rPr>
      <w:t>2</w:t>
    </w:r>
    <w:r>
      <w:rPr>
        <w:rStyle w:val="6"/>
      </w:rPr>
      <w:fldChar w:fldCharType="end"/>
    </w:r>
    <w:r>
      <w:rPr>
        <w:rStyle w:val="6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9B0C79"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063B30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604CDB"/>
    <w:rsid w:val="46604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2025-11-24T02:56:00Z</dcterms:created>
  <dc:creator>Administrator</dc:creator>
  <cp:lastModifiedBy>Administrator</cp:lastModifiedBy>
  <dcterms:modified xsi:type="dcterms:W3CDTF">2025-11-24T02:56:22Z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4511DD4C0F6A4DC986012EC280BED757_11</vt:lpwstr>
  </property>
  <property fmtid="{D5CDD505-2E9C-101B-9397-08002B2CF9AE}" pid="4" name="KSOTemplateDocerSaveRecord">
    <vt:lpwstr>eyJoZGlkIjoiYzY0MmY5ZGU2YzAwMjM5ZmIzY2U0Zjk5Y2M5NWFkODEifQ==</vt:lpwstr>
  </property>
</Properties>
</file>