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528DCA">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Times New Roman" w:hAnsi="Times New Roman" w:eastAsia="方正小标宋_GBK" w:cs="方正小标宋_GBK"/>
          <w:sz w:val="44"/>
          <w:szCs w:val="44"/>
          <w:lang w:val="en-US" w:eastAsia="zh-CN"/>
        </w:rPr>
      </w:pPr>
    </w:p>
    <w:p w14:paraId="33043853">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Times New Roman" w:hAnsi="Times New Roman" w:eastAsia="方正小标宋_GBK" w:cs="方正小标宋_GBK"/>
          <w:sz w:val="44"/>
          <w:szCs w:val="44"/>
          <w:lang w:val="en-US" w:eastAsia="zh-CN"/>
        </w:rPr>
      </w:pPr>
      <w:r>
        <w:rPr>
          <w:rFonts w:hint="eastAsia" w:ascii="Times New Roman" w:hAnsi="Times New Roman" w:eastAsia="方正小标宋_GBK" w:cs="方正小标宋_GBK"/>
          <w:sz w:val="44"/>
          <w:szCs w:val="44"/>
          <w:lang w:val="en-US" w:eastAsia="zh-CN"/>
        </w:rPr>
        <w:t>关于《江苏省前沿技术研发计划项目管理办法（征求意见稿）》的起草说明</w:t>
      </w:r>
    </w:p>
    <w:p w14:paraId="540FE4BA">
      <w:pPr>
        <w:keepNext w:val="0"/>
        <w:keepLines w:val="0"/>
        <w:pageBreakBefore w:val="0"/>
        <w:widowControl w:val="0"/>
        <w:kinsoku/>
        <w:wordWrap/>
        <w:overflowPunct/>
        <w:topLinePunct w:val="0"/>
        <w:autoSpaceDE/>
        <w:autoSpaceDN/>
        <w:bidi w:val="0"/>
        <w:adjustRightInd/>
        <w:snapToGrid/>
        <w:spacing w:line="590" w:lineRule="exact"/>
        <w:jc w:val="center"/>
        <w:textAlignment w:val="auto"/>
        <w:rPr>
          <w:rFonts w:hint="eastAsia" w:ascii="Times New Roman" w:hAnsi="Times New Roman" w:eastAsia="方正小标宋_GBK" w:cs="方正小标宋_GBK"/>
          <w:sz w:val="44"/>
          <w:szCs w:val="44"/>
          <w:lang w:val="en-US" w:eastAsia="zh-CN"/>
        </w:rPr>
      </w:pPr>
    </w:p>
    <w:p w14:paraId="4F0B059B">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eastAsia" w:ascii="Times New Roman" w:hAnsi="Times New Roman" w:eastAsia="方正仿宋_GBK"/>
          <w:sz w:val="32"/>
          <w:szCs w:val="32"/>
          <w:lang w:val="en-US" w:eastAsia="zh-CN"/>
        </w:rPr>
      </w:pPr>
      <w:r>
        <w:rPr>
          <w:rFonts w:hint="eastAsia" w:ascii="Times New Roman" w:hAnsi="Times New Roman" w:eastAsia="方正小标宋_GBK" w:cs="方正小标宋_GBK"/>
          <w:sz w:val="44"/>
          <w:szCs w:val="44"/>
          <w:lang w:val="en-US" w:eastAsia="zh-CN"/>
        </w:rPr>
        <w:t xml:space="preserve">   </w:t>
      </w:r>
      <w:r>
        <w:rPr>
          <w:rFonts w:hint="eastAsia" w:ascii="Times New Roman" w:hAnsi="Times New Roman" w:eastAsia="方正仿宋_GBK"/>
          <w:sz w:val="32"/>
          <w:szCs w:val="32"/>
          <w:lang w:eastAsia="zh-CN"/>
        </w:rPr>
        <w:t>为</w:t>
      </w:r>
      <w:r>
        <w:rPr>
          <w:rFonts w:hint="eastAsia" w:ascii="Times New Roman" w:hAnsi="Times New Roman" w:eastAsia="方正仿宋_GBK"/>
          <w:sz w:val="32"/>
          <w:szCs w:val="32"/>
          <w:lang w:val="en-US" w:eastAsia="zh-CN"/>
        </w:rPr>
        <w:t>进一步规范和</w:t>
      </w:r>
      <w:r>
        <w:rPr>
          <w:rFonts w:hint="eastAsia" w:ascii="Times New Roman" w:hAnsi="Times New Roman" w:eastAsia="方正仿宋_GBK"/>
          <w:sz w:val="32"/>
          <w:szCs w:val="32"/>
          <w:lang w:eastAsia="zh-CN"/>
        </w:rPr>
        <w:t>加强省前沿技术研发计划</w:t>
      </w:r>
      <w:r>
        <w:rPr>
          <w:rFonts w:hint="eastAsia" w:ascii="Times New Roman" w:hAnsi="Times New Roman" w:eastAsia="方正仿宋_GBK"/>
          <w:sz w:val="32"/>
          <w:szCs w:val="32"/>
          <w:lang w:val="en-US" w:eastAsia="zh-CN"/>
        </w:rPr>
        <w:t>项目</w:t>
      </w:r>
      <w:r>
        <w:rPr>
          <w:rFonts w:hint="eastAsia" w:ascii="Times New Roman" w:hAnsi="Times New Roman" w:eastAsia="方正仿宋_GBK"/>
          <w:sz w:val="32"/>
          <w:szCs w:val="32"/>
          <w:lang w:eastAsia="zh-CN"/>
        </w:rPr>
        <w:t>管理，</w:t>
      </w:r>
      <w:r>
        <w:rPr>
          <w:rFonts w:hint="eastAsia" w:ascii="Times New Roman" w:hAnsi="Times New Roman" w:eastAsia="方正仿宋_GBK"/>
          <w:sz w:val="32"/>
          <w:szCs w:val="32"/>
          <w:lang w:val="en-US" w:eastAsia="zh-CN"/>
        </w:rPr>
        <w:t>以前沿技术突破引领未来产业发展</w:t>
      </w:r>
      <w:r>
        <w:rPr>
          <w:rFonts w:hint="eastAsia" w:ascii="Times New Roman" w:hAnsi="Times New Roman" w:eastAsia="方正仿宋_GBK"/>
          <w:sz w:val="32"/>
          <w:szCs w:val="32"/>
          <w:lang w:eastAsia="zh-CN"/>
        </w:rPr>
        <w:t>，</w:t>
      </w:r>
      <w:r>
        <w:rPr>
          <w:rFonts w:hint="eastAsia" w:ascii="Times New Roman" w:hAnsi="Times New Roman" w:eastAsia="方正仿宋_GBK"/>
          <w:sz w:val="32"/>
          <w:szCs w:val="32"/>
          <w:lang w:val="en-US" w:eastAsia="zh-CN"/>
        </w:rPr>
        <w:t>不断催生</w:t>
      </w:r>
      <w:r>
        <w:rPr>
          <w:rFonts w:hint="eastAsia" w:ascii="Times New Roman" w:hAnsi="Times New Roman" w:eastAsia="方正仿宋_GBK"/>
          <w:sz w:val="32"/>
          <w:szCs w:val="32"/>
          <w:lang w:eastAsia="zh-CN"/>
        </w:rPr>
        <w:t>新质生产力，</w:t>
      </w:r>
      <w:bookmarkStart w:id="0" w:name="_GoBack"/>
      <w:r>
        <w:rPr>
          <w:rFonts w:hint="eastAsia" w:ascii="Times New Roman" w:hAnsi="Times New Roman" w:eastAsia="方正仿宋_GBK"/>
          <w:sz w:val="32"/>
          <w:szCs w:val="32"/>
          <w:lang w:val="en-US" w:eastAsia="zh-CN"/>
        </w:rPr>
        <w:t>省科技厅起草了《江苏省前沿技术研发计划项目管理办法（征求意见稿）》（以下简称《管理办法》）</w:t>
      </w:r>
      <w:bookmarkEnd w:id="0"/>
      <w:r>
        <w:rPr>
          <w:rFonts w:hint="eastAsia" w:ascii="Times New Roman" w:hAnsi="Times New Roman" w:eastAsia="方正仿宋_GBK"/>
          <w:sz w:val="32"/>
          <w:szCs w:val="32"/>
          <w:lang w:val="en-US" w:eastAsia="zh-CN"/>
        </w:rPr>
        <w:t>。有关情况说明如下：</w:t>
      </w:r>
    </w:p>
    <w:p w14:paraId="5D00B968">
      <w:pPr>
        <w:keepNext w:val="0"/>
        <w:keepLines w:val="0"/>
        <w:pageBreakBefore w:val="0"/>
        <w:widowControl w:val="0"/>
        <w:numPr>
          <w:ilvl w:val="0"/>
          <w:numId w:val="1"/>
        </w:numPr>
        <w:kinsoku/>
        <w:wordWrap/>
        <w:overflowPunct/>
        <w:topLinePunct w:val="0"/>
        <w:autoSpaceDE/>
        <w:autoSpaceDN/>
        <w:bidi w:val="0"/>
        <w:adjustRightInd/>
        <w:snapToGrid/>
        <w:spacing w:line="590" w:lineRule="exact"/>
        <w:ind w:left="660" w:leftChars="0" w:firstLine="0" w:firstLineChars="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制定背景</w:t>
      </w:r>
    </w:p>
    <w:p w14:paraId="1515A9B0">
      <w:pPr>
        <w:snapToGrid w:val="0"/>
        <w:spacing w:line="590"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习近平总书记指出，科技创新和产业创新，是发展新质生产力的基本路径。2025年，省委、省政府出台推动科技创新和产业创新融合发展的《意见》，明确提出实施省前沿技术研发计划，增加原创性、颠覆性科技供给。为深入学习贯彻总书记关于新质生产力的重要论述，认真落实省委、省政府部署要求，省科技计划新增设立前沿技术研发计划，瞄准未来产业新赛道，加强人工智能、量子科技、脑机接口、原子制造、细胞与基因技术、深海深地空天等前沿技术攻关，努力以高质量科技供给引领新场景、创造新需求、催生新产业，使江苏成为发展新质生产力的重要阵地。根据近年来省科技计划项目管理实践和新一轮科技体制改革提出的要求，结合《江苏省科技计划项目立项工作操作规程》和《江苏省科技计划项目合同制管理实施细则（试行）》等规定，制定《江苏省前沿技术研发计划项目管理办法》。</w:t>
      </w:r>
    </w:p>
    <w:p w14:paraId="78E129CB">
      <w:pPr>
        <w:keepNext w:val="0"/>
        <w:keepLines w:val="0"/>
        <w:pageBreakBefore w:val="0"/>
        <w:widowControl w:val="0"/>
        <w:numPr>
          <w:ilvl w:val="0"/>
          <w:numId w:val="1"/>
        </w:numPr>
        <w:kinsoku/>
        <w:wordWrap/>
        <w:overflowPunct/>
        <w:topLinePunct w:val="0"/>
        <w:autoSpaceDE/>
        <w:autoSpaceDN/>
        <w:bidi w:val="0"/>
        <w:adjustRightInd/>
        <w:snapToGrid/>
        <w:spacing w:line="590" w:lineRule="exact"/>
        <w:ind w:left="660" w:leftChars="0" w:firstLine="0" w:firstLineChars="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主要考虑</w:t>
      </w:r>
    </w:p>
    <w:p w14:paraId="34F905D9">
      <w:pPr>
        <w:snapToGrid w:val="0"/>
        <w:spacing w:line="590" w:lineRule="exact"/>
        <w:ind w:firstLine="643"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cs="Times New Roman"/>
          <w:b/>
          <w:bCs/>
          <w:sz w:val="32"/>
          <w:szCs w:val="32"/>
          <w:lang w:val="en-US" w:eastAsia="zh-CN"/>
        </w:rPr>
        <w:t>一是突出计划定位</w:t>
      </w:r>
      <w:r>
        <w:rPr>
          <w:rFonts w:hint="eastAsia" w:ascii="Times New Roman" w:hAnsi="Times New Roman" w:eastAsia="方正仿宋_GBK"/>
          <w:sz w:val="32"/>
          <w:szCs w:val="32"/>
          <w:lang w:val="en-US" w:eastAsia="zh-CN"/>
        </w:rPr>
        <w:t>。前沿技术是未来产业发展的重要驱动力，</w:t>
      </w:r>
      <w:r>
        <w:rPr>
          <w:rFonts w:hint="eastAsia" w:ascii="Times New Roman" w:hAnsi="Times New Roman" w:eastAsia="方正仿宋_GBK" w:cs="Times New Roman"/>
          <w:sz w:val="32"/>
          <w:szCs w:val="32"/>
          <w:lang w:val="en-US" w:eastAsia="zh-CN"/>
        </w:rPr>
        <w:t>本计划致力于服务高水平科技强省建设，以抢占未来科技和产业制高点为目标，按照“前瞻布局、应用牵引、协同创新、因地制宜”原则组织实施项目，力争实现更多“从1到10”的技术突破，引导更多创新成果从实验室通向生产线，转化为新质生产力。</w:t>
      </w:r>
      <w:r>
        <w:rPr>
          <w:rFonts w:hint="eastAsia" w:ascii="Times New Roman" w:hAnsi="Times New Roman" w:eastAsia="方正仿宋_GBK" w:cs="Times New Roman"/>
          <w:b/>
          <w:bCs/>
          <w:sz w:val="32"/>
          <w:szCs w:val="32"/>
          <w:lang w:val="en-US" w:eastAsia="zh-CN"/>
        </w:rPr>
        <w:t>二是完善组织方式</w:t>
      </w:r>
      <w:r>
        <w:rPr>
          <w:rFonts w:hint="eastAsia" w:ascii="Times New Roman" w:hAnsi="Times New Roman" w:eastAsia="方正仿宋_GBK"/>
          <w:sz w:val="32"/>
          <w:szCs w:val="32"/>
          <w:lang w:val="en-US" w:eastAsia="zh-CN"/>
        </w:rPr>
        <w:t>。《管理办法》明确了可结合实际采取公开竞争、“定向委托”、“揭榜挂帅”、“赛马制”等方式遴选项目。创新前沿技术主动发现机制，注重多渠道、常态化发掘项目，通过主动谋划、重点发掘与广泛征集等方式组织项目。</w:t>
      </w:r>
      <w:r>
        <w:rPr>
          <w:rFonts w:hint="eastAsia" w:ascii="Times New Roman" w:hAnsi="Times New Roman" w:eastAsia="方正仿宋_GBK" w:cs="Times New Roman"/>
          <w:b/>
          <w:bCs/>
          <w:sz w:val="32"/>
          <w:szCs w:val="32"/>
          <w:lang w:val="en-US" w:eastAsia="zh-CN"/>
        </w:rPr>
        <w:t>三是规范实施管理</w:t>
      </w:r>
      <w:r>
        <w:rPr>
          <w:rFonts w:hint="eastAsia" w:ascii="Times New Roman" w:hAnsi="Times New Roman" w:eastAsia="方正仿宋_GBK"/>
          <w:sz w:val="32"/>
          <w:szCs w:val="32"/>
          <w:lang w:val="en-US" w:eastAsia="zh-CN"/>
        </w:rPr>
        <w:t>。依托江苏数字科技平台实施项目全流程管理，规范年度执行情况填报、关键节点检查、重大事项变更、后续资金拨付、项目验收结题等操作流程和实施要求，按规定对项目形成的研究成果进行标注或声明，为项目团队提供项目成果转化指导和资源对接服务，加大优质项目滚动支持。</w:t>
      </w:r>
      <w:r>
        <w:rPr>
          <w:rFonts w:hint="eastAsia" w:ascii="Times New Roman" w:hAnsi="Times New Roman" w:eastAsia="方正仿宋_GBK"/>
          <w:b/>
          <w:bCs/>
          <w:sz w:val="32"/>
          <w:szCs w:val="32"/>
          <w:lang w:val="en-US" w:eastAsia="zh-CN"/>
        </w:rPr>
        <w:t>四是加强跟踪监督</w:t>
      </w:r>
      <w:r>
        <w:rPr>
          <w:rFonts w:hint="eastAsia" w:ascii="Times New Roman" w:hAnsi="Times New Roman" w:eastAsia="方正仿宋_GBK"/>
          <w:sz w:val="32"/>
          <w:szCs w:val="32"/>
          <w:lang w:val="en-US" w:eastAsia="zh-CN"/>
        </w:rPr>
        <w:t>。建立多层次监督评估体系，通过现场检查、绩效评价、财务审计等方式，对项目实施情况和实施主体履责尽职情况进行监督评估，强化激励和问责，明确违规行为处理方式，推动</w:t>
      </w:r>
      <w:r>
        <w:rPr>
          <w:rFonts w:hint="eastAsia" w:ascii="Times New Roman" w:hAnsi="Times New Roman" w:eastAsia="方正仿宋_GBK" w:cs="Times New Roman"/>
          <w:b w:val="0"/>
          <w:bCs w:val="0"/>
          <w:sz w:val="32"/>
          <w:szCs w:val="32"/>
          <w:lang w:val="en-US" w:eastAsia="zh-CN"/>
        </w:rPr>
        <w:t>建立以鼓励创新、宽容失败、最大限度管控风险为主导的尽职免责机制。</w:t>
      </w:r>
    </w:p>
    <w:p w14:paraId="2C780907">
      <w:pPr>
        <w:keepNext w:val="0"/>
        <w:keepLines w:val="0"/>
        <w:pageBreakBefore w:val="0"/>
        <w:widowControl w:val="0"/>
        <w:numPr>
          <w:ilvl w:val="0"/>
          <w:numId w:val="1"/>
        </w:numPr>
        <w:kinsoku/>
        <w:wordWrap/>
        <w:overflowPunct/>
        <w:topLinePunct w:val="0"/>
        <w:autoSpaceDE/>
        <w:autoSpaceDN/>
        <w:bidi w:val="0"/>
        <w:adjustRightInd/>
        <w:snapToGrid/>
        <w:spacing w:line="590" w:lineRule="exact"/>
        <w:ind w:left="660" w:leftChars="0" w:firstLine="0" w:firstLineChars="0"/>
        <w:jc w:val="both"/>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主要内容</w:t>
      </w:r>
    </w:p>
    <w:p w14:paraId="523FA743">
      <w:pPr>
        <w:snapToGrid w:val="0"/>
        <w:spacing w:line="590" w:lineRule="exact"/>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《管理办法》共分为7章35条，包括总则、管理职责、组织方式、实施管理、验收结题、监督评估、附则。</w:t>
      </w:r>
    </w:p>
    <w:p w14:paraId="7DA8593B">
      <w:pPr>
        <w:numPr>
          <w:ilvl w:val="0"/>
          <w:numId w:val="2"/>
        </w:numPr>
        <w:snapToGrid w:val="0"/>
        <w:spacing w:line="590" w:lineRule="exact"/>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总则。共5条，说明《管理办法》的制定依据，明确计划目标定位、实施原则、重点领域和支持方向等。</w:t>
      </w:r>
    </w:p>
    <w:p w14:paraId="61AF527F">
      <w:pPr>
        <w:numPr>
          <w:ilvl w:val="0"/>
          <w:numId w:val="2"/>
        </w:numPr>
        <w:snapToGrid w:val="0"/>
        <w:spacing w:line="590" w:lineRule="exact"/>
        <w:ind w:firstLine="640" w:firstLineChars="200"/>
        <w:rPr>
          <w:rFonts w:hint="eastAsia"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管理职责。共5条，明确省科技厅、省财政厅、项目主管部门、项目承担单位、项目管理专业机构等各方职责。</w:t>
      </w:r>
    </w:p>
    <w:p w14:paraId="4D9CF317">
      <w:pPr>
        <w:numPr>
          <w:ilvl w:val="0"/>
          <w:numId w:val="2"/>
        </w:numPr>
        <w:snapToGrid w:val="0"/>
        <w:spacing w:line="590"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组织方式。共6条，明确支持对象、指南编制发布、项目遴选方式、创新项目发现机制、资金支持方式等内容。</w:t>
      </w:r>
    </w:p>
    <w:p w14:paraId="096FE025">
      <w:pPr>
        <w:numPr>
          <w:ilvl w:val="0"/>
          <w:numId w:val="2"/>
        </w:numPr>
        <w:snapToGrid w:val="0"/>
        <w:spacing w:line="590"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实施管理。共8条，明确项目执行情况填报、过程检查、重大事项变更、成果标注声明等项目全流程管理要求。</w:t>
      </w:r>
    </w:p>
    <w:p w14:paraId="2A6396A8">
      <w:pPr>
        <w:numPr>
          <w:ilvl w:val="0"/>
          <w:numId w:val="2"/>
        </w:numPr>
        <w:snapToGrid w:val="0"/>
        <w:spacing w:line="590"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验收结题。共4条，明确项目验收结题的办理流程、处理方式等相关要求，加快推动项目成果转化。</w:t>
      </w:r>
    </w:p>
    <w:p w14:paraId="26659025">
      <w:pPr>
        <w:numPr>
          <w:ilvl w:val="0"/>
          <w:numId w:val="2"/>
        </w:numPr>
        <w:snapToGrid w:val="0"/>
        <w:spacing w:line="590" w:lineRule="exact"/>
        <w:ind w:firstLine="640" w:firstLineChars="200"/>
        <w:rPr>
          <w:rFonts w:hint="default" w:ascii="Times New Roman" w:hAnsi="Times New Roman" w:eastAsia="方正仿宋_GBK"/>
          <w:sz w:val="32"/>
          <w:szCs w:val="32"/>
          <w:lang w:val="en-US" w:eastAsia="zh-CN"/>
        </w:rPr>
      </w:pPr>
      <w:r>
        <w:rPr>
          <w:rFonts w:hint="eastAsia" w:ascii="Times New Roman" w:hAnsi="Times New Roman" w:eastAsia="方正仿宋_GBK"/>
          <w:sz w:val="32"/>
          <w:szCs w:val="32"/>
          <w:lang w:val="en-US" w:eastAsia="zh-CN"/>
        </w:rPr>
        <w:t>监督评估。共5条，明确项目监督检查、科研诚信管理、违规行为处理、尽职免责机制等要求。</w:t>
      </w:r>
    </w:p>
    <w:p w14:paraId="3C8F22FD">
      <w:pPr>
        <w:numPr>
          <w:ilvl w:val="0"/>
          <w:numId w:val="0"/>
        </w:numPr>
        <w:snapToGrid w:val="0"/>
        <w:spacing w:line="590" w:lineRule="exact"/>
        <w:ind w:firstLine="640" w:firstLineChars="200"/>
      </w:pPr>
      <w:r>
        <w:rPr>
          <w:rFonts w:hint="eastAsia" w:ascii="Times New Roman" w:hAnsi="Times New Roman" w:eastAsia="方正仿宋_GBK"/>
          <w:sz w:val="32"/>
          <w:szCs w:val="32"/>
          <w:lang w:val="en-US" w:eastAsia="zh-CN"/>
        </w:rPr>
        <w:t>（七）附则。共2条，主要明确《管理办法》解释权和施行期等内容。</w:t>
      </w:r>
    </w:p>
    <w:sectPr>
      <w:footerReference r:id="rId3" w:type="default"/>
      <w:pgSz w:w="11906" w:h="16838"/>
      <w:pgMar w:top="1814" w:right="1531" w:bottom="1984" w:left="1531"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4274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FDEE070">
                          <w:pPr>
                            <w:pStyle w:val="3"/>
                            <w:rPr>
                              <w:rFonts w:hint="default" w:ascii="Times New Roman" w:hAnsi="Times New Roman" w:eastAsia="宋体" w:cs="Times New Roman"/>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FDEE070">
                    <w:pPr>
                      <w:pStyle w:val="3"/>
                      <w:rPr>
                        <w:rFonts w:hint="default" w:ascii="Times New Roman" w:hAnsi="Times New Roman" w:eastAsia="宋体" w:cs="Times New Roman"/>
                        <w:sz w:val="28"/>
                        <w:szCs w:val="28"/>
                        <w:lang w:val="en-US" w:eastAsia="zh-CN"/>
                      </w:rPr>
                    </w:pPr>
                    <w:r>
                      <w:rPr>
                        <w:rFonts w:hint="default" w:ascii="Times New Roman" w:hAnsi="Times New Roman" w:cs="Times New Roman"/>
                        <w:sz w:val="28"/>
                        <w:szCs w:val="28"/>
                        <w:lang w:eastAsia="zh-CN"/>
                      </w:rPr>
                      <w:t>—</w:t>
                    </w:r>
                    <w:r>
                      <w:rPr>
                        <w:rFonts w:hint="default" w:ascii="Times New Roman" w:hAnsi="Times New Roman" w:cs="Times New Roman"/>
                        <w:sz w:val="28"/>
                        <w:szCs w:val="28"/>
                        <w:lang w:val="en-US" w:eastAsia="zh-CN"/>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lang w:val="en-US" w:eastAsia="zh-CN"/>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75E2C26"/>
    <w:multiLevelType w:val="singleLevel"/>
    <w:tmpl w:val="D75E2C26"/>
    <w:lvl w:ilvl="0" w:tentative="0">
      <w:start w:val="1"/>
      <w:numFmt w:val="chineseCounting"/>
      <w:suff w:val="nothing"/>
      <w:lvlText w:val="%1、"/>
      <w:lvlJc w:val="left"/>
      <w:pPr>
        <w:ind w:left="660" w:leftChars="0" w:firstLine="0" w:firstLineChars="0"/>
      </w:pPr>
      <w:rPr>
        <w:rFonts w:hint="eastAsia"/>
      </w:rPr>
    </w:lvl>
  </w:abstractNum>
  <w:abstractNum w:abstractNumId="1">
    <w:nsid w:val="E84D7587"/>
    <w:multiLevelType w:val="singleLevel"/>
    <w:tmpl w:val="E84D7587"/>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2"/>
  <w:embedSystemFonts/>
  <w:bordersDoNotSurroundHeader w:val="1"/>
  <w:bordersDoNotSurroundFooter w:val="1"/>
  <w:documentProtection w:enforcement="0"/>
  <w:defaultTabStop w:val="420"/>
  <w:drawingGridVerticalSpacing w:val="156"/>
  <w:displayHorizontalDrawingGridEvery w:val="1"/>
  <w:displayVerticalDrawingGridEvery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F946E7"/>
    <w:rsid w:val="04AF3F3E"/>
    <w:rsid w:val="0A711DDD"/>
    <w:rsid w:val="0B491B79"/>
    <w:rsid w:val="0F3C0F0B"/>
    <w:rsid w:val="11F900C1"/>
    <w:rsid w:val="18636182"/>
    <w:rsid w:val="29894432"/>
    <w:rsid w:val="31D41551"/>
    <w:rsid w:val="3E8E0DB5"/>
    <w:rsid w:val="41970CA5"/>
    <w:rsid w:val="48B459D5"/>
    <w:rsid w:val="57F946E7"/>
    <w:rsid w:val="5B1E63B6"/>
    <w:rsid w:val="5C9E4702"/>
    <w:rsid w:val="6290771F"/>
    <w:rsid w:val="63205730"/>
    <w:rsid w:val="63546435"/>
    <w:rsid w:val="65565350"/>
    <w:rsid w:val="672350E3"/>
    <w:rsid w:val="74D165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qFormat/>
    <w:uiPriority w:val="0"/>
    <w:pPr>
      <w:keepNext/>
      <w:keepLines/>
      <w:spacing w:beforeLines="0" w:beforeAutospacing="0" w:afterLines="0" w:afterAutospacing="0" w:line="590" w:lineRule="exact"/>
      <w:outlineLvl w:val="0"/>
    </w:pPr>
    <w:rPr>
      <w:rFonts w:eastAsia="方正小标宋_GBK"/>
      <w:b/>
      <w:kern w:val="44"/>
      <w:sz w:val="44"/>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线型"/>
    <w:basedOn w:val="1"/>
    <w:qFormat/>
    <w:uiPriority w:val="0"/>
    <w:pPr>
      <w:adjustRightInd w:val="0"/>
      <w:snapToGrid/>
      <w:spacing w:line="240" w:lineRule="auto"/>
      <w:ind w:right="357" w:firstLine="0"/>
      <w:jc w:val="center"/>
    </w:pPr>
    <w:rPr>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1745</Words>
  <Characters>1751</Characters>
  <Lines>0</Lines>
  <Paragraphs>0</Paragraphs>
  <TotalTime>7</TotalTime>
  <ScaleCrop>false</ScaleCrop>
  <LinksUpToDate>false</LinksUpToDate>
  <CharactersWithSpaces>1754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2025-10-17T12:37:00Z</dcterms:created>
  <dc:creator>张竞博</dc:creator>
  <cp:lastModifiedBy>张竞博</cp:lastModifiedBy>
  <cp:lastPrinted>2025-12-31T01:56:45Z</cp:lastPrinted>
  <dcterms:modified xsi:type="dcterms:W3CDTF">2025-12-31T02:20:12Z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A1984F0B09C84BCBB120AF04566D6961_13</vt:lpwstr>
  </property>
  <property fmtid="{D5CDD505-2E9C-101B-9397-08002B2CF9AE}" pid="4" name="KSOTemplateDocerSaveRecord">
    <vt:lpwstr>eyJoZGlkIjoiODRjZGY0NDdlZTRmOTJmZTc4ZDJmMDQ2NDkzNWY1OGUiLCJ1c2VySWQiOiIyMzU1MDYwNDYifQ==</vt:lpwstr>
  </property>
</Properties>
</file>